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6BAAE" w14:textId="7574AB8A" w:rsidR="00A731A8" w:rsidRPr="00AB67EE" w:rsidRDefault="00A731A8" w:rsidP="0026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80"/>
        </w:tabs>
        <w:jc w:val="center"/>
        <w:rPr>
          <w:rFonts w:ascii="Verdana" w:hAnsi="Verdana" w:cs="Arial"/>
          <w:b/>
          <w:sz w:val="18"/>
          <w:szCs w:val="18"/>
          <w:lang w:val="fr-BE"/>
        </w:rPr>
      </w:pPr>
      <w:bookmarkStart w:id="0" w:name="_GoBack"/>
      <w:bookmarkEnd w:id="0"/>
      <w:r w:rsidRPr="00AB67EE">
        <w:rPr>
          <w:rFonts w:ascii="Verdana" w:hAnsi="Verdana" w:cs="Arial"/>
          <w:b/>
          <w:sz w:val="18"/>
          <w:szCs w:val="18"/>
          <w:lang w:val="fr-BE"/>
        </w:rPr>
        <w:t>Lignes directrices</w:t>
      </w:r>
    </w:p>
    <w:p w14:paraId="51E422BB" w14:textId="3F315BA8" w:rsidR="00417DA9" w:rsidRPr="00AB67EE" w:rsidRDefault="00A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80"/>
        </w:tabs>
        <w:jc w:val="center"/>
        <w:rPr>
          <w:rFonts w:ascii="Verdana" w:hAnsi="Verdana" w:cs="Arial"/>
          <w:b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Paracétamol (administration orale et rectale)</w:t>
      </w:r>
    </w:p>
    <w:p w14:paraId="663C87C8" w14:textId="77777777" w:rsidR="00A731A8" w:rsidRPr="00AB67EE" w:rsidRDefault="00A731A8" w:rsidP="00AB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80"/>
        </w:tabs>
        <w:rPr>
          <w:rFonts w:ascii="Verdana" w:hAnsi="Verdana" w:cs="Arial"/>
          <w:b/>
          <w:sz w:val="18"/>
          <w:szCs w:val="18"/>
          <w:lang w:val="fr-BE"/>
        </w:rPr>
      </w:pPr>
    </w:p>
    <w:p w14:paraId="444B01ED" w14:textId="77777777" w:rsidR="00417DA9" w:rsidRPr="00AB67EE" w:rsidRDefault="00417DA9" w:rsidP="00AB67EE">
      <w:pPr>
        <w:tabs>
          <w:tab w:val="left" w:pos="480"/>
        </w:tabs>
        <w:rPr>
          <w:rFonts w:ascii="Verdana" w:hAnsi="Verdana" w:cs="Arial"/>
          <w:b/>
          <w:sz w:val="18"/>
          <w:szCs w:val="18"/>
          <w:u w:val="single"/>
          <w:lang w:val="fr-BE"/>
        </w:rPr>
      </w:pPr>
    </w:p>
    <w:tbl>
      <w:tblPr>
        <w:tblW w:w="9212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6526"/>
      </w:tblGrid>
      <w:tr w:rsidR="002038C0" w:rsidRPr="00844373" w14:paraId="13732A9F" w14:textId="77777777" w:rsidTr="00B726BF">
        <w:tc>
          <w:tcPr>
            <w:tcW w:w="2686" w:type="dxa"/>
            <w:tcBorders>
              <w:left w:val="single" w:sz="6" w:space="0" w:color="auto"/>
            </w:tcBorders>
          </w:tcPr>
          <w:p w14:paraId="35AF8DBF" w14:textId="488788B7" w:rsidR="002038C0" w:rsidRPr="00AB67EE" w:rsidRDefault="002038C0" w:rsidP="006947BE">
            <w:pPr>
              <w:ind w:right="72"/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INN</w:t>
            </w:r>
          </w:p>
        </w:tc>
        <w:tc>
          <w:tcPr>
            <w:tcW w:w="6526" w:type="dxa"/>
            <w:tcBorders>
              <w:right w:val="single" w:sz="6" w:space="0" w:color="auto"/>
            </w:tcBorders>
          </w:tcPr>
          <w:p w14:paraId="2ADDA0EB" w14:textId="7EB5D8DB" w:rsidR="002038C0" w:rsidRPr="00AB67EE" w:rsidRDefault="00235FCE" w:rsidP="00AB67EE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/>
                <w:sz w:val="18"/>
                <w:szCs w:val="18"/>
                <w:lang w:val="fr-BE"/>
              </w:rPr>
              <w:t>P</w:t>
            </w:r>
            <w:r w:rsidR="002038C0" w:rsidRPr="00AB67EE">
              <w:rPr>
                <w:rFonts w:ascii="Verdana" w:hAnsi="Verdana"/>
                <w:sz w:val="18"/>
                <w:szCs w:val="18"/>
                <w:lang w:val="fr-BE"/>
              </w:rPr>
              <w:t>aracétamol</w:t>
            </w:r>
          </w:p>
        </w:tc>
      </w:tr>
      <w:tr w:rsidR="002038C0" w:rsidRPr="00844373" w14:paraId="2B25CFD0" w14:textId="77777777" w:rsidTr="00B726BF">
        <w:tc>
          <w:tcPr>
            <w:tcW w:w="2686" w:type="dxa"/>
            <w:tcBorders>
              <w:left w:val="single" w:sz="6" w:space="0" w:color="auto"/>
            </w:tcBorders>
          </w:tcPr>
          <w:p w14:paraId="4436C1AB" w14:textId="0327C497" w:rsidR="002038C0" w:rsidRPr="00AB67EE" w:rsidRDefault="002038C0" w:rsidP="006947BE">
            <w:pPr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ATC Code</w:t>
            </w:r>
          </w:p>
        </w:tc>
        <w:tc>
          <w:tcPr>
            <w:tcW w:w="6526" w:type="dxa"/>
            <w:tcBorders>
              <w:right w:val="single" w:sz="6" w:space="0" w:color="auto"/>
            </w:tcBorders>
          </w:tcPr>
          <w:p w14:paraId="03B0A7E6" w14:textId="77777777" w:rsidR="002038C0" w:rsidRPr="00AB67EE" w:rsidRDefault="002038C0" w:rsidP="00AB67EE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sz w:val="18"/>
                <w:szCs w:val="18"/>
                <w:lang w:val="fr-BE"/>
              </w:rPr>
              <w:t>N02BE01</w:t>
            </w:r>
          </w:p>
        </w:tc>
      </w:tr>
      <w:tr w:rsidR="002038C0" w:rsidRPr="00844373" w14:paraId="722F6F9A" w14:textId="77777777" w:rsidTr="00B726BF">
        <w:tc>
          <w:tcPr>
            <w:tcW w:w="2686" w:type="dxa"/>
            <w:tcBorders>
              <w:left w:val="single" w:sz="6" w:space="0" w:color="auto"/>
            </w:tcBorders>
          </w:tcPr>
          <w:p w14:paraId="64A22D4F" w14:textId="77777777" w:rsidR="002038C0" w:rsidRPr="00AB67EE" w:rsidRDefault="002038C0" w:rsidP="006947BE">
            <w:pPr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Indication(s)</w:t>
            </w:r>
          </w:p>
        </w:tc>
        <w:tc>
          <w:tcPr>
            <w:tcW w:w="6526" w:type="dxa"/>
            <w:tcBorders>
              <w:right w:val="single" w:sz="6" w:space="0" w:color="auto"/>
            </w:tcBorders>
          </w:tcPr>
          <w:p w14:paraId="73FAA8ED" w14:textId="70D9C617" w:rsidR="002038C0" w:rsidRPr="00AB67EE" w:rsidRDefault="002038C0" w:rsidP="006947BE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sz w:val="18"/>
                <w:szCs w:val="18"/>
                <w:lang w:val="fr-BE"/>
              </w:rPr>
              <w:t>Traitement symptomatique de la douleur et de la fièvre</w:t>
            </w:r>
          </w:p>
        </w:tc>
      </w:tr>
    </w:tbl>
    <w:p w14:paraId="20D9492E" w14:textId="77777777" w:rsidR="002038C0" w:rsidRPr="00AB67EE" w:rsidRDefault="002038C0" w:rsidP="006947BE">
      <w:pPr>
        <w:tabs>
          <w:tab w:val="left" w:pos="480"/>
        </w:tabs>
        <w:rPr>
          <w:rFonts w:ascii="Verdana" w:hAnsi="Verdana" w:cs="Arial"/>
          <w:sz w:val="18"/>
          <w:szCs w:val="18"/>
          <w:u w:val="single"/>
          <w:lang w:val="fr-BE"/>
        </w:rPr>
      </w:pPr>
    </w:p>
    <w:p w14:paraId="74D0CBED" w14:textId="77371490" w:rsidR="008811E7" w:rsidRPr="00AB67EE" w:rsidRDefault="008811E7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</w:p>
    <w:p w14:paraId="6BED157F" w14:textId="2F5ECD23" w:rsidR="005037F8" w:rsidRPr="00AB67EE" w:rsidRDefault="00A731A8" w:rsidP="00AB67EE">
      <w:pPr>
        <w:tabs>
          <w:tab w:val="left" w:pos="480"/>
        </w:tabs>
        <w:rPr>
          <w:rFonts w:ascii="Verdana" w:hAnsi="Verdana" w:cs="Arial"/>
          <w:b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A</w:t>
      </w:r>
      <w:r w:rsidR="004E2D4A" w:rsidRPr="00AB67EE">
        <w:rPr>
          <w:rFonts w:ascii="Verdana" w:hAnsi="Verdana" w:cs="Arial"/>
          <w:b/>
          <w:sz w:val="18"/>
          <w:szCs w:val="18"/>
          <w:lang w:val="fr-BE"/>
        </w:rPr>
        <w:t>bréviations</w:t>
      </w:r>
    </w:p>
    <w:p w14:paraId="1F133203" w14:textId="3018DC0B" w:rsidR="004E2D4A" w:rsidRPr="00AB67EE" w:rsidRDefault="005037F8" w:rsidP="00AB67EE">
      <w:pPr>
        <w:tabs>
          <w:tab w:val="left" w:pos="851"/>
        </w:tabs>
        <w:rPr>
          <w:rFonts w:ascii="Verdana" w:hAnsi="Verdana"/>
          <w:sz w:val="18"/>
          <w:szCs w:val="18"/>
          <w:lang w:val="fr-BE"/>
        </w:rPr>
      </w:pPr>
      <w:proofErr w:type="spellStart"/>
      <w:r w:rsidRPr="00AB67EE">
        <w:rPr>
          <w:rFonts w:ascii="Verdana" w:hAnsi="Verdana"/>
          <w:sz w:val="18"/>
          <w:szCs w:val="18"/>
          <w:lang w:val="fr-BE"/>
        </w:rPr>
        <w:t>CMDh</w:t>
      </w:r>
      <w:proofErr w:type="spellEnd"/>
      <w:r w:rsidRPr="00AB67EE">
        <w:rPr>
          <w:rFonts w:ascii="Verdana" w:hAnsi="Verdana"/>
          <w:sz w:val="18"/>
          <w:szCs w:val="18"/>
          <w:lang w:val="fr-BE"/>
        </w:rPr>
        <w:t xml:space="preserve"> </w:t>
      </w:r>
      <w:r w:rsidR="004E2D4A" w:rsidRPr="00AB67EE">
        <w:rPr>
          <w:rFonts w:ascii="Verdana" w:hAnsi="Verdana"/>
          <w:sz w:val="18"/>
          <w:szCs w:val="18"/>
          <w:lang w:val="fr-BE"/>
        </w:rPr>
        <w:t>:</w:t>
      </w:r>
      <w:r w:rsidR="00AB67EE">
        <w:rPr>
          <w:rFonts w:ascii="Verdana" w:hAnsi="Verdana"/>
          <w:sz w:val="18"/>
          <w:szCs w:val="18"/>
          <w:lang w:val="fr-BE"/>
        </w:rPr>
        <w:tab/>
      </w:r>
      <w:r w:rsidR="00844373" w:rsidRPr="00AB67EE">
        <w:rPr>
          <w:rFonts w:ascii="Verdana" w:hAnsi="Verdana"/>
          <w:sz w:val="18"/>
          <w:szCs w:val="18"/>
          <w:lang w:val="fr-BE"/>
        </w:rPr>
        <w:t xml:space="preserve">Coordination Group for </w:t>
      </w:r>
      <w:proofErr w:type="spellStart"/>
      <w:r w:rsidR="00844373" w:rsidRPr="00AB67EE">
        <w:rPr>
          <w:rFonts w:ascii="Verdana" w:hAnsi="Verdana"/>
          <w:sz w:val="18"/>
          <w:szCs w:val="18"/>
          <w:lang w:val="fr-BE"/>
        </w:rPr>
        <w:t>Mu</w:t>
      </w:r>
      <w:r w:rsidR="00983EFA">
        <w:rPr>
          <w:rFonts w:ascii="Verdana" w:hAnsi="Verdana"/>
          <w:sz w:val="18"/>
          <w:szCs w:val="18"/>
          <w:lang w:val="fr-BE"/>
        </w:rPr>
        <w:t>tual</w:t>
      </w:r>
      <w:proofErr w:type="spellEnd"/>
      <w:r w:rsidR="00983EFA">
        <w:rPr>
          <w:rFonts w:ascii="Verdana" w:hAnsi="Verdana"/>
          <w:sz w:val="18"/>
          <w:szCs w:val="18"/>
          <w:lang w:val="fr-BE"/>
        </w:rPr>
        <w:t xml:space="preserve"> Recognition and </w:t>
      </w:r>
      <w:proofErr w:type="spellStart"/>
      <w:r w:rsidR="00983EFA">
        <w:rPr>
          <w:rFonts w:ascii="Verdana" w:hAnsi="Verdana"/>
          <w:sz w:val="18"/>
          <w:szCs w:val="18"/>
          <w:lang w:val="fr-BE"/>
        </w:rPr>
        <w:t>Decentralis</w:t>
      </w:r>
      <w:r w:rsidR="00844373" w:rsidRPr="00AB67EE">
        <w:rPr>
          <w:rFonts w:ascii="Verdana" w:hAnsi="Verdana"/>
          <w:sz w:val="18"/>
          <w:szCs w:val="18"/>
          <w:lang w:val="fr-BE"/>
        </w:rPr>
        <w:t>ed</w:t>
      </w:r>
      <w:proofErr w:type="spellEnd"/>
      <w:r w:rsidR="00844373" w:rsidRPr="00AB67EE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844373" w:rsidRPr="00AB67EE">
        <w:rPr>
          <w:rFonts w:ascii="Verdana" w:hAnsi="Verdana"/>
          <w:sz w:val="18"/>
          <w:szCs w:val="18"/>
          <w:lang w:val="fr-BE"/>
        </w:rPr>
        <w:t>Procedures</w:t>
      </w:r>
      <w:proofErr w:type="spellEnd"/>
      <w:r w:rsidR="00844373" w:rsidRPr="00AB67EE">
        <w:rPr>
          <w:rFonts w:ascii="Verdana" w:hAnsi="Verdana"/>
          <w:sz w:val="18"/>
          <w:szCs w:val="18"/>
          <w:lang w:val="fr-BE"/>
        </w:rPr>
        <w:t xml:space="preserve"> – </w:t>
      </w:r>
      <w:proofErr w:type="spellStart"/>
      <w:r w:rsidR="00844373" w:rsidRPr="00AB67EE">
        <w:rPr>
          <w:rFonts w:ascii="Verdana" w:hAnsi="Verdana"/>
          <w:sz w:val="18"/>
          <w:szCs w:val="18"/>
          <w:lang w:val="fr-BE"/>
        </w:rPr>
        <w:t>Human</w:t>
      </w:r>
      <w:proofErr w:type="spellEnd"/>
    </w:p>
    <w:p w14:paraId="06AA5FB1" w14:textId="5C69071A" w:rsidR="00844373" w:rsidRPr="00AB67EE" w:rsidRDefault="00844373" w:rsidP="00AB67EE">
      <w:pPr>
        <w:tabs>
          <w:tab w:val="left" w:pos="851"/>
        </w:tabs>
        <w:rPr>
          <w:rFonts w:ascii="Verdana" w:hAnsi="Verdana"/>
          <w:sz w:val="18"/>
          <w:szCs w:val="18"/>
          <w:lang w:val="fr-BE"/>
        </w:rPr>
      </w:pPr>
      <w:r w:rsidRPr="00AB67EE">
        <w:rPr>
          <w:rFonts w:ascii="Verdana" w:hAnsi="Verdana"/>
          <w:sz w:val="18"/>
          <w:szCs w:val="18"/>
          <w:lang w:val="fr-BE"/>
        </w:rPr>
        <w:t>DCP</w:t>
      </w:r>
      <w:r w:rsidRPr="00FB20DC">
        <w:rPr>
          <w:rFonts w:ascii="Verdana" w:hAnsi="Verdana"/>
          <w:sz w:val="18"/>
          <w:szCs w:val="18"/>
          <w:lang w:val="fr-BE"/>
        </w:rPr>
        <w:t> :</w:t>
      </w:r>
      <w:r w:rsidR="00AB67EE">
        <w:rPr>
          <w:rFonts w:ascii="Verdana" w:hAnsi="Verdana"/>
          <w:sz w:val="18"/>
          <w:szCs w:val="18"/>
          <w:lang w:val="fr-BE"/>
        </w:rPr>
        <w:tab/>
      </w:r>
      <w:proofErr w:type="spellStart"/>
      <w:r w:rsidRPr="00AB67EE">
        <w:rPr>
          <w:rFonts w:ascii="Verdana" w:hAnsi="Verdana"/>
          <w:sz w:val="18"/>
          <w:szCs w:val="18"/>
          <w:lang w:val="fr-BE"/>
        </w:rPr>
        <w:t>Decentralised</w:t>
      </w:r>
      <w:proofErr w:type="spellEnd"/>
      <w:r w:rsidRPr="00AB67EE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/>
          <w:sz w:val="18"/>
          <w:szCs w:val="18"/>
          <w:lang w:val="fr-BE"/>
        </w:rPr>
        <w:t>Procedure</w:t>
      </w:r>
      <w:proofErr w:type="spellEnd"/>
    </w:p>
    <w:p w14:paraId="2686DC23" w14:textId="44424AF5" w:rsidR="00844373" w:rsidRPr="00AB67EE" w:rsidRDefault="00844373" w:rsidP="00AB67EE">
      <w:pPr>
        <w:tabs>
          <w:tab w:val="left" w:pos="851"/>
        </w:tabs>
        <w:rPr>
          <w:rFonts w:ascii="Verdana" w:hAnsi="Verdana"/>
          <w:sz w:val="18"/>
          <w:szCs w:val="18"/>
          <w:lang w:val="fr-BE"/>
        </w:rPr>
      </w:pPr>
      <w:r w:rsidRPr="00FB20DC">
        <w:rPr>
          <w:rFonts w:ascii="Verdana" w:hAnsi="Verdana"/>
          <w:sz w:val="18"/>
          <w:szCs w:val="18"/>
          <w:lang w:val="fr-BE"/>
        </w:rPr>
        <w:t>MRP :</w:t>
      </w:r>
      <w:r w:rsidR="00AB67EE">
        <w:rPr>
          <w:rFonts w:ascii="Verdana" w:hAnsi="Verdana"/>
          <w:sz w:val="18"/>
          <w:szCs w:val="18"/>
          <w:lang w:val="fr-BE"/>
        </w:rPr>
        <w:tab/>
      </w:r>
      <w:proofErr w:type="spellStart"/>
      <w:r w:rsidRPr="00AB67EE">
        <w:rPr>
          <w:rFonts w:ascii="Verdana" w:hAnsi="Verdana"/>
          <w:sz w:val="18"/>
          <w:szCs w:val="18"/>
          <w:lang w:val="fr-BE"/>
        </w:rPr>
        <w:t>Mutual</w:t>
      </w:r>
      <w:proofErr w:type="spellEnd"/>
      <w:r w:rsidRPr="00AB67EE">
        <w:rPr>
          <w:rFonts w:ascii="Verdana" w:hAnsi="Verdana"/>
          <w:sz w:val="18"/>
          <w:szCs w:val="18"/>
          <w:lang w:val="fr-BE"/>
        </w:rPr>
        <w:t xml:space="preserve"> Recognition </w:t>
      </w:r>
      <w:proofErr w:type="spellStart"/>
      <w:r w:rsidRPr="00AB67EE">
        <w:rPr>
          <w:rFonts w:ascii="Verdana" w:hAnsi="Verdana"/>
          <w:sz w:val="18"/>
          <w:szCs w:val="18"/>
          <w:lang w:val="fr-BE"/>
        </w:rPr>
        <w:t>Procedure</w:t>
      </w:r>
      <w:proofErr w:type="spellEnd"/>
    </w:p>
    <w:p w14:paraId="0A16B4F6" w14:textId="26AC0502" w:rsidR="004E2D4A" w:rsidRPr="00AB67EE" w:rsidRDefault="005037F8" w:rsidP="00AB67EE">
      <w:pPr>
        <w:tabs>
          <w:tab w:val="left" w:pos="851"/>
        </w:tabs>
        <w:rPr>
          <w:rFonts w:ascii="Verdana" w:hAnsi="Verdana"/>
          <w:sz w:val="18"/>
          <w:szCs w:val="18"/>
          <w:lang w:val="fr-BE"/>
        </w:rPr>
      </w:pPr>
      <w:proofErr w:type="spellStart"/>
      <w:r w:rsidRPr="00AB67EE">
        <w:rPr>
          <w:rFonts w:ascii="Verdana" w:hAnsi="Verdana"/>
          <w:sz w:val="18"/>
          <w:szCs w:val="18"/>
          <w:lang w:val="fr-BE"/>
        </w:rPr>
        <w:t>PhVWP</w:t>
      </w:r>
      <w:proofErr w:type="spellEnd"/>
      <w:r w:rsidRPr="00AB67EE">
        <w:rPr>
          <w:rFonts w:ascii="Verdana" w:hAnsi="Verdana"/>
          <w:sz w:val="18"/>
          <w:szCs w:val="18"/>
          <w:lang w:val="fr-BE"/>
        </w:rPr>
        <w:t xml:space="preserve"> </w:t>
      </w:r>
      <w:r w:rsidR="004E2D4A" w:rsidRPr="00AB67EE">
        <w:rPr>
          <w:rFonts w:ascii="Verdana" w:hAnsi="Verdana"/>
          <w:sz w:val="18"/>
          <w:szCs w:val="18"/>
          <w:lang w:val="fr-BE"/>
        </w:rPr>
        <w:t>:</w:t>
      </w:r>
      <w:r w:rsidR="00AB67EE">
        <w:rPr>
          <w:rFonts w:ascii="Verdana" w:hAnsi="Verdana"/>
          <w:sz w:val="18"/>
          <w:szCs w:val="18"/>
          <w:lang w:val="fr-BE"/>
        </w:rPr>
        <w:tab/>
      </w:r>
      <w:r w:rsidR="00844373" w:rsidRPr="00AB67EE">
        <w:rPr>
          <w:rFonts w:ascii="Verdana" w:hAnsi="Verdana"/>
          <w:sz w:val="18"/>
          <w:szCs w:val="18"/>
          <w:lang w:val="fr-BE"/>
        </w:rPr>
        <w:t xml:space="preserve">Pharmacovigilance </w:t>
      </w:r>
      <w:proofErr w:type="spellStart"/>
      <w:r w:rsidR="00844373" w:rsidRPr="00AB67EE">
        <w:rPr>
          <w:rFonts w:ascii="Verdana" w:hAnsi="Verdana"/>
          <w:sz w:val="18"/>
          <w:szCs w:val="18"/>
          <w:lang w:val="fr-BE"/>
        </w:rPr>
        <w:t>Working</w:t>
      </w:r>
      <w:proofErr w:type="spellEnd"/>
      <w:r w:rsidR="00844373" w:rsidRPr="00AB67EE">
        <w:rPr>
          <w:rFonts w:ascii="Verdana" w:hAnsi="Verdana"/>
          <w:sz w:val="18"/>
          <w:szCs w:val="18"/>
          <w:lang w:val="fr-BE"/>
        </w:rPr>
        <w:t xml:space="preserve"> Party</w:t>
      </w:r>
    </w:p>
    <w:p w14:paraId="495CC1CF" w14:textId="74ED7E55" w:rsidR="00F92680" w:rsidRPr="00AB67EE" w:rsidRDefault="005037F8" w:rsidP="00AB67EE">
      <w:pPr>
        <w:tabs>
          <w:tab w:val="left" w:pos="851"/>
        </w:tabs>
        <w:rPr>
          <w:rFonts w:ascii="Verdana" w:hAnsi="Verdana"/>
          <w:sz w:val="18"/>
          <w:szCs w:val="18"/>
          <w:lang w:val="fr-BE"/>
        </w:rPr>
      </w:pPr>
      <w:r w:rsidRPr="00AB67EE">
        <w:rPr>
          <w:rFonts w:ascii="Verdana" w:hAnsi="Verdana"/>
          <w:sz w:val="18"/>
          <w:szCs w:val="18"/>
          <w:lang w:val="fr-BE"/>
        </w:rPr>
        <w:t xml:space="preserve">PRAC </w:t>
      </w:r>
      <w:r w:rsidR="00F92680" w:rsidRPr="00AB67EE">
        <w:rPr>
          <w:rFonts w:ascii="Verdana" w:hAnsi="Verdana"/>
          <w:sz w:val="18"/>
          <w:szCs w:val="18"/>
          <w:lang w:val="fr-BE"/>
        </w:rPr>
        <w:t>:</w:t>
      </w:r>
      <w:r w:rsidR="00AB67EE">
        <w:rPr>
          <w:rFonts w:ascii="Verdana" w:hAnsi="Verdana"/>
          <w:sz w:val="18"/>
          <w:szCs w:val="18"/>
          <w:lang w:val="fr-BE"/>
        </w:rPr>
        <w:tab/>
      </w:r>
      <w:r w:rsidR="00844373" w:rsidRPr="00AB67EE">
        <w:rPr>
          <w:rFonts w:ascii="Verdana" w:hAnsi="Verdana"/>
          <w:sz w:val="18"/>
          <w:szCs w:val="18"/>
          <w:lang w:val="fr-BE"/>
        </w:rPr>
        <w:t xml:space="preserve">Pharmacovigilance </w:t>
      </w:r>
      <w:proofErr w:type="spellStart"/>
      <w:r w:rsidR="00844373" w:rsidRPr="00AB67EE">
        <w:rPr>
          <w:rFonts w:ascii="Verdana" w:hAnsi="Verdana"/>
          <w:sz w:val="18"/>
          <w:szCs w:val="18"/>
          <w:lang w:val="fr-BE"/>
        </w:rPr>
        <w:t>Risk</w:t>
      </w:r>
      <w:proofErr w:type="spellEnd"/>
      <w:r w:rsidR="00844373" w:rsidRPr="00AB67EE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844373" w:rsidRPr="00AB67EE">
        <w:rPr>
          <w:rFonts w:ascii="Verdana" w:hAnsi="Verdana"/>
          <w:sz w:val="18"/>
          <w:szCs w:val="18"/>
          <w:lang w:val="fr-BE"/>
        </w:rPr>
        <w:t>Assessment</w:t>
      </w:r>
      <w:proofErr w:type="spellEnd"/>
      <w:r w:rsidR="00844373" w:rsidRPr="00AB67EE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844373" w:rsidRPr="00AB67EE">
        <w:rPr>
          <w:rFonts w:ascii="Verdana" w:hAnsi="Verdana"/>
          <w:sz w:val="18"/>
          <w:szCs w:val="18"/>
          <w:lang w:val="fr-BE"/>
        </w:rPr>
        <w:t>Committee</w:t>
      </w:r>
      <w:proofErr w:type="spellEnd"/>
    </w:p>
    <w:p w14:paraId="13E31693" w14:textId="66439FDC" w:rsidR="00844373" w:rsidRPr="00AB67EE" w:rsidRDefault="005037F8" w:rsidP="00AB67EE">
      <w:pPr>
        <w:tabs>
          <w:tab w:val="left" w:pos="851"/>
        </w:tabs>
        <w:rPr>
          <w:rFonts w:ascii="Verdana" w:hAnsi="Verdana"/>
          <w:sz w:val="18"/>
          <w:szCs w:val="18"/>
          <w:lang w:val="fr-BE"/>
        </w:rPr>
      </w:pPr>
      <w:r w:rsidRPr="00AB67EE">
        <w:rPr>
          <w:rFonts w:ascii="Verdana" w:hAnsi="Verdana"/>
          <w:sz w:val="18"/>
          <w:szCs w:val="18"/>
          <w:lang w:val="fr-BE"/>
        </w:rPr>
        <w:t xml:space="preserve">RCP </w:t>
      </w:r>
      <w:r w:rsidR="004E2D4A" w:rsidRPr="00AB67EE">
        <w:rPr>
          <w:rFonts w:ascii="Verdana" w:hAnsi="Verdana"/>
          <w:sz w:val="18"/>
          <w:szCs w:val="18"/>
          <w:lang w:val="fr-BE"/>
        </w:rPr>
        <w:t>:</w:t>
      </w:r>
      <w:r w:rsidR="00AB67EE">
        <w:rPr>
          <w:rFonts w:ascii="Verdana" w:hAnsi="Verdana"/>
          <w:sz w:val="18"/>
          <w:szCs w:val="18"/>
          <w:lang w:val="fr-BE"/>
        </w:rPr>
        <w:tab/>
      </w:r>
      <w:r w:rsidR="00844373" w:rsidRPr="00AB67EE">
        <w:rPr>
          <w:rFonts w:ascii="Verdana" w:hAnsi="Verdana"/>
          <w:sz w:val="18"/>
          <w:szCs w:val="18"/>
          <w:lang w:val="fr-BE"/>
        </w:rPr>
        <w:t>Résumé des caractéristiques du produit</w:t>
      </w:r>
    </w:p>
    <w:p w14:paraId="20BC543D" w14:textId="004065C0" w:rsidR="004E2D4A" w:rsidRPr="00FE5888" w:rsidRDefault="004E2D4A" w:rsidP="004F647B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</w:p>
    <w:p w14:paraId="4AD92248" w14:textId="38E0D431" w:rsidR="002038C0" w:rsidRPr="00FE5888" w:rsidRDefault="002038C0">
      <w:pPr>
        <w:tabs>
          <w:tab w:val="left" w:pos="480"/>
        </w:tabs>
        <w:rPr>
          <w:rFonts w:ascii="Verdana" w:hAnsi="Verdana" w:cs="Arial"/>
          <w:sz w:val="18"/>
          <w:szCs w:val="18"/>
          <w:u w:val="single"/>
          <w:lang w:val="fr-BE"/>
        </w:rPr>
      </w:pPr>
    </w:p>
    <w:p w14:paraId="14AB2509" w14:textId="4F72E8F0" w:rsidR="008811E7" w:rsidRPr="00AB67EE" w:rsidRDefault="002038C0" w:rsidP="00AB67EE">
      <w:pPr>
        <w:tabs>
          <w:tab w:val="left" w:pos="480"/>
        </w:tabs>
        <w:rPr>
          <w:rFonts w:ascii="Verdana" w:hAnsi="Verdana" w:cs="Arial"/>
          <w:b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Contexte</w:t>
      </w:r>
    </w:p>
    <w:p w14:paraId="665D0820" w14:textId="40AE03C3" w:rsidR="000A5A3D" w:rsidRPr="00AB67EE" w:rsidRDefault="00C47F1F" w:rsidP="00AB67EE">
      <w:pPr>
        <w:numPr>
          <w:ilvl w:val="0"/>
          <w:numId w:val="26"/>
        </w:num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Ces</w:t>
      </w:r>
      <w:r w:rsidR="002933FF" w:rsidRPr="00AB67EE">
        <w:rPr>
          <w:rFonts w:ascii="Verdana" w:hAnsi="Verdana" w:cs="Arial"/>
          <w:sz w:val="18"/>
          <w:szCs w:val="18"/>
          <w:lang w:val="fr-BE"/>
        </w:rPr>
        <w:t xml:space="preserve"> ligne</w:t>
      </w:r>
      <w:r w:rsidRPr="00AB67EE">
        <w:rPr>
          <w:rFonts w:ascii="Verdana" w:hAnsi="Verdana" w:cs="Arial"/>
          <w:sz w:val="18"/>
          <w:szCs w:val="18"/>
          <w:lang w:val="fr-BE"/>
        </w:rPr>
        <w:t>s</w:t>
      </w:r>
      <w:r w:rsidR="002933FF" w:rsidRPr="00AB67EE">
        <w:rPr>
          <w:rFonts w:ascii="Verdana" w:hAnsi="Verdana" w:cs="Arial"/>
          <w:sz w:val="18"/>
          <w:szCs w:val="18"/>
          <w:lang w:val="fr-BE"/>
        </w:rPr>
        <w:t xml:space="preserve"> directrice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s 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pour le paracétamol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 sont basées sur</w:t>
      </w:r>
      <w:r w:rsidR="000A5A3D" w:rsidRPr="00AB67EE">
        <w:rPr>
          <w:rFonts w:ascii="Verdana" w:hAnsi="Verdana" w:cs="Arial"/>
          <w:sz w:val="18"/>
          <w:szCs w:val="18"/>
          <w:lang w:val="fr-BE"/>
        </w:rPr>
        <w:t xml:space="preserve"> des données scientifiques de la littérature, des recommandations européennes ainsi que des demandes d’autorisation</w:t>
      </w:r>
      <w:r w:rsidR="00B726BF" w:rsidRPr="00AB67EE">
        <w:rPr>
          <w:rFonts w:ascii="Verdana" w:hAnsi="Verdana" w:cs="Arial"/>
          <w:sz w:val="18"/>
          <w:szCs w:val="18"/>
          <w:lang w:val="fr-BE"/>
        </w:rPr>
        <w:t xml:space="preserve"> européennes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. Ce </w:t>
      </w:r>
      <w:r w:rsidR="000A5A3D" w:rsidRPr="00AB67EE">
        <w:rPr>
          <w:rFonts w:ascii="Verdana" w:hAnsi="Verdana" w:cs="Arial"/>
          <w:sz w:val="18"/>
          <w:szCs w:val="18"/>
          <w:lang w:val="fr-BE"/>
        </w:rPr>
        <w:t>document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 peut être utilisé comme référence pour la révision du résumé des caractéristiques du produit (RCP) et de la notice des médicaments à base de paracétamol, à usage oral/rectal.</w:t>
      </w:r>
    </w:p>
    <w:p w14:paraId="1A0D9B54" w14:textId="0ED3DE6C" w:rsidR="002038C0" w:rsidRPr="00AB67EE" w:rsidRDefault="000A5A3D" w:rsidP="00AB67EE">
      <w:pPr>
        <w:numPr>
          <w:ilvl w:val="0"/>
          <w:numId w:val="26"/>
        </w:num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Nous rappelons aux détenteurs d’autorisation de mise sur le marché qu’ils sont tenus de mettre à jour le RCP et la notice </w:t>
      </w:r>
      <w:r w:rsidR="00983EFA">
        <w:rPr>
          <w:rFonts w:ascii="Verdana" w:hAnsi="Verdana" w:cs="Arial"/>
          <w:sz w:val="18"/>
          <w:szCs w:val="18"/>
          <w:lang w:val="fr-BE"/>
        </w:rPr>
        <w:t xml:space="preserve">pour le public 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en fonction de l’évolution des connaissances scientifiques, en ce compris les conclusions </w:t>
      </w:r>
      <w:r w:rsidR="0096703E" w:rsidRPr="00AB67EE">
        <w:rPr>
          <w:rFonts w:ascii="Verdana" w:hAnsi="Verdana" w:cs="Arial"/>
          <w:sz w:val="18"/>
          <w:szCs w:val="18"/>
          <w:lang w:val="fr-BE"/>
        </w:rPr>
        <w:t xml:space="preserve">des évaluations et 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des recommandations publiées sur le </w:t>
      </w:r>
      <w:r w:rsidR="00DE3487" w:rsidRPr="00AB67EE">
        <w:rPr>
          <w:rFonts w:ascii="Verdana" w:hAnsi="Verdana" w:cs="Arial"/>
          <w:sz w:val="18"/>
          <w:szCs w:val="18"/>
          <w:lang w:val="fr-BE"/>
        </w:rPr>
        <w:t>web-</w:t>
      </w:r>
      <w:r w:rsidRPr="00AB67EE">
        <w:rPr>
          <w:rFonts w:ascii="Verdana" w:hAnsi="Verdana" w:cs="Arial"/>
          <w:sz w:val="18"/>
          <w:szCs w:val="18"/>
          <w:lang w:val="fr-BE"/>
        </w:rPr>
        <w:t>portail</w:t>
      </w:r>
      <w:r w:rsidR="0096703E" w:rsidRPr="00AB67EE">
        <w:rPr>
          <w:rFonts w:ascii="Verdana" w:hAnsi="Verdana" w:cs="Arial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Arial"/>
          <w:sz w:val="18"/>
          <w:szCs w:val="18"/>
          <w:lang w:val="fr-BE"/>
        </w:rPr>
        <w:t>européen (</w:t>
      </w:r>
      <w:hyperlink r:id="rId8" w:history="1">
        <w:r w:rsidRPr="00AB67EE">
          <w:rPr>
            <w:rStyle w:val="Hyperlink"/>
            <w:rFonts w:ascii="Verdana" w:hAnsi="Verdana" w:cs="Arial"/>
            <w:sz w:val="18"/>
            <w:szCs w:val="18"/>
            <w:lang w:val="fr-BE"/>
          </w:rPr>
          <w:t>Loi du 25 mars 1964 sur les médicaments, article 6</w:t>
        </w:r>
        <w:r w:rsidR="00B726BF" w:rsidRPr="00AB67EE">
          <w:rPr>
            <w:rStyle w:val="Hyperlink"/>
            <w:rFonts w:ascii="Verdana" w:hAnsi="Verdana" w:cs="Arial"/>
            <w:sz w:val="18"/>
            <w:szCs w:val="18"/>
            <w:lang w:val="fr-BE"/>
          </w:rPr>
          <w:t xml:space="preserve"> </w:t>
        </w:r>
        <w:r w:rsidRPr="00AB67EE">
          <w:rPr>
            <w:rStyle w:val="Hyperlink"/>
            <w:rFonts w:ascii="Verdana" w:hAnsi="Verdana" w:cs="Arial"/>
            <w:sz w:val="18"/>
            <w:szCs w:val="18"/>
            <w:lang w:val="fr-BE"/>
          </w:rPr>
          <w:t>§1</w:t>
        </w:r>
        <w:r w:rsidR="00B726BF" w:rsidRPr="00AB67EE">
          <w:rPr>
            <w:rStyle w:val="Hyperlink"/>
            <w:rFonts w:ascii="Verdana" w:hAnsi="Verdana" w:cs="Arial"/>
            <w:sz w:val="18"/>
            <w:szCs w:val="18"/>
            <w:lang w:val="fr-BE"/>
          </w:rPr>
          <w:t xml:space="preserve"> quater</w:t>
        </w:r>
      </w:hyperlink>
      <w:r w:rsidRPr="00AB67EE">
        <w:rPr>
          <w:rFonts w:ascii="Verdana" w:hAnsi="Verdana" w:cs="Arial"/>
          <w:sz w:val="18"/>
          <w:szCs w:val="18"/>
          <w:lang w:val="fr-BE"/>
        </w:rPr>
        <w:t>)</w:t>
      </w:r>
      <w:r w:rsidR="006825E7"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170CA7FB" w14:textId="607BF787" w:rsidR="0096703E" w:rsidRPr="00AB67EE" w:rsidRDefault="0096703E" w:rsidP="00AB67EE">
      <w:pPr>
        <w:numPr>
          <w:ilvl w:val="0"/>
          <w:numId w:val="26"/>
        </w:num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Les informations de sécurité mentionnées </w:t>
      </w:r>
      <w:r w:rsidR="004771BF" w:rsidRPr="00AB67EE">
        <w:rPr>
          <w:rFonts w:ascii="Verdana" w:hAnsi="Verdana" w:cs="Arial"/>
          <w:sz w:val="18"/>
          <w:szCs w:val="18"/>
          <w:lang w:val="fr-BE"/>
        </w:rPr>
        <w:t>dans les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 rubriques 4.2 à 4.9 sont considérées comme un minimum </w:t>
      </w:r>
      <w:r w:rsidR="004771BF" w:rsidRPr="00AB67EE">
        <w:rPr>
          <w:rFonts w:ascii="Verdana" w:hAnsi="Verdana" w:cs="Arial"/>
          <w:sz w:val="18"/>
          <w:szCs w:val="18"/>
          <w:lang w:val="fr-BE"/>
        </w:rPr>
        <w:t>devant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 être repris dans le RCP et</w:t>
      </w:r>
      <w:r w:rsidR="00983EFA">
        <w:rPr>
          <w:rFonts w:ascii="Verdana" w:hAnsi="Verdana" w:cs="Arial"/>
          <w:sz w:val="18"/>
          <w:szCs w:val="18"/>
          <w:lang w:val="fr-BE"/>
        </w:rPr>
        <w:t>/ou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 la notice </w:t>
      </w:r>
      <w:r w:rsidR="00983EFA">
        <w:rPr>
          <w:rFonts w:ascii="Verdana" w:hAnsi="Verdana" w:cs="Arial"/>
          <w:sz w:val="18"/>
          <w:szCs w:val="18"/>
          <w:lang w:val="fr-BE"/>
        </w:rPr>
        <w:t xml:space="preserve">pour le public </w:t>
      </w:r>
      <w:r w:rsidRPr="00AB67EE">
        <w:rPr>
          <w:rFonts w:ascii="Verdana" w:hAnsi="Verdana" w:cs="Arial"/>
          <w:sz w:val="18"/>
          <w:szCs w:val="18"/>
          <w:lang w:val="fr-BE"/>
        </w:rPr>
        <w:t>de tous les médicaments concernés.</w:t>
      </w:r>
    </w:p>
    <w:p w14:paraId="5B950014" w14:textId="279189D3" w:rsidR="000D4C29" w:rsidRDefault="000D4C29" w:rsidP="00AB67EE">
      <w:pPr>
        <w:numPr>
          <w:ilvl w:val="0"/>
          <w:numId w:val="26"/>
        </w:num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Le document tient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 compte des recommandations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 européennes suivantes concernant le parac</w:t>
      </w:r>
      <w:r w:rsidR="008F3126" w:rsidRPr="00AB67EE">
        <w:rPr>
          <w:rFonts w:ascii="Verdana" w:hAnsi="Verdana" w:cs="Arial"/>
          <w:sz w:val="18"/>
          <w:szCs w:val="18"/>
          <w:lang w:val="fr-BE"/>
        </w:rPr>
        <w:t>é</w:t>
      </w:r>
      <w:r w:rsidRPr="00AB67EE">
        <w:rPr>
          <w:rFonts w:ascii="Verdana" w:hAnsi="Verdana" w:cs="Arial"/>
          <w:sz w:val="18"/>
          <w:szCs w:val="18"/>
          <w:lang w:val="fr-BE"/>
        </w:rPr>
        <w:t>tamol :</w:t>
      </w:r>
    </w:p>
    <w:p w14:paraId="132AA92F" w14:textId="77777777" w:rsidR="000A0042" w:rsidRPr="00AB67EE" w:rsidRDefault="000A0042" w:rsidP="000A0042">
      <w:pPr>
        <w:tabs>
          <w:tab w:val="left" w:pos="480"/>
        </w:tabs>
        <w:ind w:left="360"/>
        <w:rPr>
          <w:rFonts w:ascii="Verdana" w:hAnsi="Verdana" w:cs="Arial"/>
          <w:sz w:val="18"/>
          <w:szCs w:val="18"/>
          <w:lang w:val="fr-BE"/>
        </w:rPr>
      </w:pPr>
    </w:p>
    <w:p w14:paraId="7DF65F92" w14:textId="0234D50F" w:rsidR="00C83614" w:rsidRPr="00AB67EE" w:rsidRDefault="000D4C29" w:rsidP="000A0042">
      <w:pPr>
        <w:pStyle w:val="Lijstalinea"/>
        <w:numPr>
          <w:ilvl w:val="0"/>
          <w:numId w:val="30"/>
        </w:numPr>
        <w:ind w:left="709" w:hanging="283"/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La recommandation 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du </w:t>
      </w:r>
      <w:proofErr w:type="spellStart"/>
      <w:r w:rsidR="002038C0" w:rsidRPr="00AB67EE">
        <w:rPr>
          <w:rFonts w:ascii="Verdana" w:hAnsi="Verdana" w:cs="Arial"/>
          <w:sz w:val="18"/>
          <w:szCs w:val="18"/>
          <w:lang w:val="fr-BE"/>
        </w:rPr>
        <w:t>PhVWP</w:t>
      </w:r>
      <w:proofErr w:type="spellEnd"/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 relatives à l’utilisation du paracétamol en cas d’insuffisance hépatique aiguë et d’anémie hémolytique aiguë/déficit en G6PD</w:t>
      </w:r>
      <w:r w:rsidR="0053307D" w:rsidRPr="00AB67EE">
        <w:rPr>
          <w:rFonts w:ascii="Verdana" w:hAnsi="Verdana" w:cs="Arial"/>
          <w:sz w:val="18"/>
          <w:szCs w:val="18"/>
          <w:lang w:val="fr-BE"/>
        </w:rPr>
        <w:t xml:space="preserve"> 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(Réf.: </w:t>
      </w:r>
      <w:hyperlink r:id="rId9" w:history="1">
        <w:proofErr w:type="spellStart"/>
        <w:r w:rsidR="002038C0" w:rsidRPr="00AB67EE">
          <w:rPr>
            <w:rStyle w:val="Hyperlink"/>
            <w:rFonts w:ascii="Verdana" w:hAnsi="Verdana" w:cs="Arial"/>
            <w:sz w:val="18"/>
            <w:szCs w:val="18"/>
          </w:rPr>
          <w:t>CMD</w:t>
        </w:r>
        <w:r w:rsidR="00C83614" w:rsidRPr="00AB67EE">
          <w:rPr>
            <w:rStyle w:val="Hyperlink"/>
            <w:rFonts w:ascii="Verdana" w:hAnsi="Verdana" w:cs="Arial"/>
            <w:sz w:val="18"/>
            <w:szCs w:val="18"/>
          </w:rPr>
          <w:t>h</w:t>
        </w:r>
        <w:proofErr w:type="spellEnd"/>
        <w:r w:rsidR="00C83614" w:rsidRPr="00AB67EE">
          <w:rPr>
            <w:rStyle w:val="Hyperlink"/>
            <w:rFonts w:ascii="Verdana" w:hAnsi="Verdana" w:cs="Arial"/>
            <w:sz w:val="18"/>
            <w:szCs w:val="18"/>
          </w:rPr>
          <w:t>/</w:t>
        </w:r>
        <w:proofErr w:type="spellStart"/>
        <w:r w:rsidR="00C83614" w:rsidRPr="00AB67EE">
          <w:rPr>
            <w:rStyle w:val="Hyperlink"/>
            <w:rFonts w:ascii="Verdana" w:hAnsi="Verdana" w:cs="Arial"/>
            <w:sz w:val="18"/>
            <w:szCs w:val="18"/>
          </w:rPr>
          <w:t>PhWP</w:t>
        </w:r>
        <w:proofErr w:type="spellEnd"/>
        <w:r w:rsidR="00C83614" w:rsidRPr="00AB67EE">
          <w:rPr>
            <w:rStyle w:val="Hyperlink"/>
            <w:rFonts w:ascii="Verdana" w:hAnsi="Verdana" w:cs="Arial"/>
            <w:sz w:val="18"/>
            <w:szCs w:val="18"/>
          </w:rPr>
          <w:t xml:space="preserve">/032/2011, </w:t>
        </w:r>
        <w:proofErr w:type="spellStart"/>
        <w:r w:rsidR="00C83614" w:rsidRPr="00AB67EE">
          <w:rPr>
            <w:rStyle w:val="Hyperlink"/>
            <w:rFonts w:ascii="Verdana" w:hAnsi="Verdana" w:cs="Arial"/>
            <w:sz w:val="18"/>
            <w:szCs w:val="18"/>
          </w:rPr>
          <w:t>septembre</w:t>
        </w:r>
        <w:proofErr w:type="spellEnd"/>
        <w:r w:rsidR="00C83614" w:rsidRPr="00AB67EE">
          <w:rPr>
            <w:rStyle w:val="Hyperlink"/>
            <w:rFonts w:ascii="Verdana" w:hAnsi="Verdana" w:cs="Arial"/>
            <w:sz w:val="18"/>
            <w:szCs w:val="18"/>
          </w:rPr>
          <w:t xml:space="preserve"> 2011</w:t>
        </w:r>
      </w:hyperlink>
      <w:r w:rsidR="0053307D" w:rsidRPr="00AB67EE">
        <w:rPr>
          <w:rFonts w:ascii="Verdana" w:hAnsi="Verdana" w:cs="Arial"/>
          <w:sz w:val="18"/>
          <w:szCs w:val="18"/>
          <w:lang w:val="fr-BE"/>
        </w:rPr>
        <w:t>)</w:t>
      </w:r>
      <w:r w:rsidR="000A0042">
        <w:rPr>
          <w:rFonts w:ascii="Verdana" w:hAnsi="Verdana" w:cs="Arial"/>
          <w:sz w:val="18"/>
          <w:szCs w:val="18"/>
          <w:lang w:val="fr-BE"/>
        </w:rPr>
        <w:t>.</w:t>
      </w:r>
    </w:p>
    <w:p w14:paraId="7E30EC6F" w14:textId="51600496" w:rsidR="002038C0" w:rsidRPr="00AB67EE" w:rsidRDefault="000A0042" w:rsidP="000A0042">
      <w:pPr>
        <w:pStyle w:val="Lijstalinea"/>
        <w:ind w:left="709" w:hanging="283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Sur base de la littérature scientifique disponible, le </w:t>
      </w:r>
      <w:proofErr w:type="spellStart"/>
      <w:r w:rsidR="002038C0" w:rsidRPr="00AB67EE">
        <w:rPr>
          <w:rFonts w:ascii="Verdana" w:hAnsi="Verdana" w:cs="Arial"/>
          <w:sz w:val="18"/>
          <w:szCs w:val="18"/>
          <w:lang w:val="fr-BE"/>
        </w:rPr>
        <w:t>PhVWP</w:t>
      </w:r>
      <w:proofErr w:type="spellEnd"/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 a conclu que les preuves étaient insuffisantes pour soutenir une contre-indication et a formulé des recommandations pour les rubriques 4.2 et 4.4 du RCP.</w:t>
      </w:r>
      <w:bookmarkStart w:id="1" w:name="_MON_1388737788"/>
      <w:bookmarkEnd w:id="1"/>
    </w:p>
    <w:p w14:paraId="5F6AE6C6" w14:textId="6EA3FC4A" w:rsidR="00981936" w:rsidRPr="00AB67EE" w:rsidRDefault="00D630C2" w:rsidP="000A0042">
      <w:pPr>
        <w:numPr>
          <w:ilvl w:val="0"/>
          <w:numId w:val="36"/>
        </w:numPr>
        <w:ind w:left="709" w:hanging="283"/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La recommandation du PRAC concernant le signal </w:t>
      </w:r>
      <w:r w:rsidR="000D1EC3" w:rsidRPr="00AB67EE">
        <w:rPr>
          <w:rFonts w:ascii="Verdana" w:hAnsi="Verdana" w:cs="Arial"/>
          <w:sz w:val="18"/>
          <w:szCs w:val="18"/>
          <w:lang w:val="fr-BE"/>
        </w:rPr>
        <w:t>« 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Paracetamol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– Drug-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induced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Stevens-Johnson syndrome (SJS),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toxic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epidermal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necrolysis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(TEN),</w:t>
      </w:r>
      <w:r w:rsidR="00D407D7" w:rsidRPr="00AB67EE">
        <w:rPr>
          <w:rFonts w:ascii="Verdana" w:hAnsi="Verdana" w:cs="Arial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and acute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generalised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exanthematous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pustulosis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(AGEP)</w:t>
      </w:r>
      <w:r w:rsidR="000D1EC3" w:rsidRPr="00AB67EE">
        <w:rPr>
          <w:rFonts w:ascii="Verdana" w:hAnsi="Verdana" w:cs="Arial"/>
          <w:sz w:val="18"/>
          <w:szCs w:val="18"/>
          <w:lang w:val="fr-BE"/>
        </w:rPr>
        <w:t> »</w:t>
      </w:r>
      <w:r w:rsidR="00D4454D" w:rsidRPr="00AB67EE">
        <w:rPr>
          <w:rFonts w:ascii="Verdana" w:hAnsi="Verdana" w:cs="Arial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Arial"/>
          <w:sz w:val="18"/>
          <w:szCs w:val="18"/>
          <w:lang w:val="fr-BE"/>
        </w:rPr>
        <w:t>(</w:t>
      </w:r>
      <w:r w:rsidR="005D62B2" w:rsidRPr="00AB67EE">
        <w:rPr>
          <w:rFonts w:ascii="Verdana" w:hAnsi="Verdana" w:cs="Arial"/>
          <w:sz w:val="18"/>
          <w:szCs w:val="18"/>
          <w:lang w:val="fr-BE"/>
        </w:rPr>
        <w:t>Ré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f.: </w:t>
      </w:r>
      <w:hyperlink r:id="rId10" w:history="1">
        <w:r w:rsidRPr="00AB67EE">
          <w:rPr>
            <w:rStyle w:val="Hyperlink"/>
            <w:rFonts w:ascii="Verdana" w:hAnsi="Verdana" w:cs="Arial"/>
            <w:sz w:val="18"/>
            <w:szCs w:val="18"/>
            <w:lang w:val="fr-BE"/>
          </w:rPr>
          <w:t xml:space="preserve">EMA/PRAC/65788/2014, 24 </w:t>
        </w:r>
        <w:proofErr w:type="spellStart"/>
        <w:r w:rsidRPr="00AB67EE">
          <w:rPr>
            <w:rStyle w:val="Hyperlink"/>
            <w:rFonts w:ascii="Verdana" w:hAnsi="Verdana" w:cs="Arial"/>
            <w:sz w:val="18"/>
            <w:szCs w:val="18"/>
            <w:lang w:val="fr-BE"/>
          </w:rPr>
          <w:t>februari</w:t>
        </w:r>
        <w:proofErr w:type="spellEnd"/>
        <w:r w:rsidRPr="00AB67EE">
          <w:rPr>
            <w:rStyle w:val="Hyperlink"/>
            <w:rFonts w:ascii="Verdana" w:hAnsi="Verdana" w:cs="Arial"/>
            <w:sz w:val="18"/>
            <w:szCs w:val="18"/>
            <w:lang w:val="fr-BE"/>
          </w:rPr>
          <w:t xml:space="preserve"> 2014</w:t>
        </w:r>
      </w:hyperlink>
      <w:r w:rsidR="000D1EC3" w:rsidRPr="00AB67EE">
        <w:rPr>
          <w:rFonts w:ascii="Verdana" w:hAnsi="Verdana" w:cs="Arial"/>
          <w:sz w:val="18"/>
          <w:szCs w:val="18"/>
          <w:lang w:val="fr-BE"/>
        </w:rPr>
        <w:t>)</w:t>
      </w:r>
      <w:r w:rsidR="00415398"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500E7D76" w14:textId="72C959F3" w:rsidR="00F52EA9" w:rsidRPr="00AB67EE" w:rsidRDefault="00F52EA9" w:rsidP="000A0042">
      <w:pPr>
        <w:pStyle w:val="Lijstalinea"/>
        <w:numPr>
          <w:ilvl w:val="0"/>
          <w:numId w:val="36"/>
        </w:numPr>
        <w:ind w:left="709" w:hanging="283"/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La recommandation du PRAC de septembre 2017 concernant la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flucloxacilline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utilisée de façon concomitante avec le paracétamol et le risque d’acidose métabolique à trou anionique élevé (AMTAE)</w:t>
      </w:r>
      <w:r w:rsidR="00B06E37" w:rsidRPr="00AB67EE">
        <w:rPr>
          <w:rFonts w:ascii="Verdana" w:hAnsi="Verdana" w:cs="Arial"/>
          <w:sz w:val="18"/>
          <w:szCs w:val="18"/>
          <w:lang w:val="fr-BE"/>
        </w:rPr>
        <w:t xml:space="preserve"> (</w:t>
      </w:r>
      <w:r w:rsidR="005D62B2" w:rsidRPr="00AB67EE">
        <w:rPr>
          <w:rFonts w:ascii="Verdana" w:hAnsi="Verdana" w:cs="Arial"/>
          <w:sz w:val="18"/>
          <w:szCs w:val="18"/>
          <w:lang w:val="fr-BE"/>
        </w:rPr>
        <w:t>Ré</w:t>
      </w:r>
      <w:r w:rsidR="00B06E37" w:rsidRPr="00AB67EE">
        <w:rPr>
          <w:rFonts w:ascii="Verdana" w:hAnsi="Verdana" w:cs="Arial"/>
          <w:sz w:val="18"/>
          <w:szCs w:val="18"/>
          <w:lang w:val="fr-BE"/>
        </w:rPr>
        <w:t>f.</w:t>
      </w:r>
      <w:r w:rsidR="005D62B2" w:rsidRPr="00AB67EE">
        <w:rPr>
          <w:rFonts w:ascii="Verdana" w:hAnsi="Verdana" w:cs="Arial"/>
          <w:sz w:val="18"/>
          <w:szCs w:val="18"/>
          <w:lang w:val="fr-BE"/>
        </w:rPr>
        <w:t xml:space="preserve"> </w:t>
      </w:r>
      <w:hyperlink r:id="rId11" w:history="1">
        <w:r w:rsidR="005D62B2" w:rsidRPr="00AB67EE">
          <w:rPr>
            <w:rStyle w:val="Hyperlink"/>
            <w:rFonts w:ascii="Verdana" w:hAnsi="Verdana" w:cs="Arial"/>
            <w:sz w:val="18"/>
            <w:szCs w:val="18"/>
          </w:rPr>
          <w:t xml:space="preserve">EMA/PRAC/610975/2017, 12 </w:t>
        </w:r>
        <w:proofErr w:type="spellStart"/>
        <w:r w:rsidR="005D62B2" w:rsidRPr="00AB67EE">
          <w:rPr>
            <w:rStyle w:val="Hyperlink"/>
            <w:rFonts w:ascii="Verdana" w:hAnsi="Verdana" w:cs="Arial"/>
            <w:sz w:val="18"/>
            <w:szCs w:val="18"/>
          </w:rPr>
          <w:t>October</w:t>
        </w:r>
        <w:proofErr w:type="spellEnd"/>
        <w:r w:rsidR="005D62B2" w:rsidRPr="00AB67EE">
          <w:rPr>
            <w:rStyle w:val="Hyperlink"/>
            <w:rFonts w:ascii="Verdana" w:hAnsi="Verdana" w:cs="Arial"/>
            <w:sz w:val="18"/>
            <w:szCs w:val="18"/>
          </w:rPr>
          <w:t xml:space="preserve"> 2017</w:t>
        </w:r>
      </w:hyperlink>
      <w:r w:rsidR="00622A0F" w:rsidRPr="00AB67EE">
        <w:rPr>
          <w:rFonts w:ascii="Verdana" w:hAnsi="Verdana" w:cs="Arial"/>
          <w:sz w:val="18"/>
          <w:szCs w:val="18"/>
          <w:lang w:val="fr-BE"/>
        </w:rPr>
        <w:t>)</w:t>
      </w:r>
      <w:r w:rsidR="005D43FB"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7BA2CF88" w14:textId="6B9CDB83" w:rsidR="004C2DEF" w:rsidRPr="00FB20DC" w:rsidRDefault="00381A7E" w:rsidP="000A0042">
      <w:pPr>
        <w:pStyle w:val="Lijstalinea"/>
        <w:numPr>
          <w:ilvl w:val="0"/>
          <w:numId w:val="36"/>
        </w:numPr>
        <w:ind w:left="709" w:hanging="283"/>
        <w:rPr>
          <w:rFonts w:ascii="Verdana" w:hAnsi="Verdana"/>
          <w:sz w:val="18"/>
          <w:szCs w:val="18"/>
          <w:lang w:val="fr-BE"/>
        </w:rPr>
      </w:pPr>
      <w:r w:rsidRPr="00AB67EE">
        <w:rPr>
          <w:rFonts w:ascii="Verdana" w:hAnsi="Verdana"/>
          <w:sz w:val="18"/>
          <w:szCs w:val="18"/>
          <w:lang w:val="fr-BE"/>
        </w:rPr>
        <w:t>La recommandation du PRAC de mars 2019 concernant</w:t>
      </w:r>
      <w:r w:rsidR="004C1403" w:rsidRPr="00AB67EE">
        <w:rPr>
          <w:rFonts w:ascii="Verdana" w:hAnsi="Verdana"/>
          <w:sz w:val="18"/>
          <w:szCs w:val="18"/>
          <w:lang w:val="fr-BE"/>
        </w:rPr>
        <w:t xml:space="preserve"> l’utilisation du paracétamol pendant la grossesse et l’impact sur le </w:t>
      </w:r>
      <w:proofErr w:type="spellStart"/>
      <w:r w:rsidR="004C1403" w:rsidRPr="00AB67EE">
        <w:rPr>
          <w:rFonts w:ascii="Verdana" w:hAnsi="Verdana"/>
          <w:sz w:val="18"/>
          <w:szCs w:val="18"/>
          <w:lang w:val="fr-BE"/>
        </w:rPr>
        <w:t>neurodéveloppement</w:t>
      </w:r>
      <w:proofErr w:type="spellEnd"/>
      <w:r w:rsidR="004C1403" w:rsidRPr="00AB67EE">
        <w:rPr>
          <w:rFonts w:ascii="Verdana" w:hAnsi="Verdana"/>
          <w:sz w:val="18"/>
          <w:szCs w:val="18"/>
          <w:lang w:val="fr-BE"/>
        </w:rPr>
        <w:t xml:space="preserve"> de l’enfant ou sur le système urogénital de l’enfant. (R</w:t>
      </w:r>
      <w:r w:rsidR="005D62B2" w:rsidRPr="00AB67EE">
        <w:rPr>
          <w:rFonts w:ascii="Verdana" w:hAnsi="Verdana"/>
          <w:sz w:val="18"/>
          <w:szCs w:val="18"/>
          <w:lang w:val="fr-BE"/>
        </w:rPr>
        <w:t>é</w:t>
      </w:r>
      <w:r w:rsidR="004C1403" w:rsidRPr="00AB67EE">
        <w:rPr>
          <w:rFonts w:ascii="Verdana" w:hAnsi="Verdana"/>
          <w:sz w:val="18"/>
          <w:szCs w:val="18"/>
          <w:lang w:val="fr-BE"/>
        </w:rPr>
        <w:t>f.</w:t>
      </w:r>
      <w:r w:rsidR="004C2DEF" w:rsidRPr="00AB67EE">
        <w:rPr>
          <w:rFonts w:ascii="Verdana" w:hAnsi="Verdana"/>
          <w:sz w:val="18"/>
          <w:szCs w:val="18"/>
          <w:lang w:val="fr-BE"/>
        </w:rPr>
        <w:t xml:space="preserve">: </w:t>
      </w:r>
      <w:hyperlink r:id="rId12" w:history="1">
        <w:r w:rsidR="005D62B2" w:rsidRPr="00AB67EE">
          <w:rPr>
            <w:rStyle w:val="Hyperlink"/>
            <w:sz w:val="18"/>
            <w:szCs w:val="18"/>
          </w:rPr>
          <w:t>EMA/PRAC/157165/2019, 8 April 2019</w:t>
        </w:r>
      </w:hyperlink>
      <w:r w:rsidR="004C2DEF" w:rsidRPr="00AB67EE">
        <w:rPr>
          <w:rFonts w:ascii="Verdana" w:hAnsi="Verdana"/>
          <w:sz w:val="18"/>
          <w:szCs w:val="18"/>
          <w:lang w:val="fr-BE"/>
        </w:rPr>
        <w:t>)</w:t>
      </w:r>
      <w:r w:rsidR="00415398" w:rsidRPr="00AB67EE">
        <w:rPr>
          <w:rFonts w:ascii="Verdana" w:hAnsi="Verdana"/>
          <w:sz w:val="18"/>
          <w:szCs w:val="18"/>
          <w:lang w:val="fr-BE"/>
        </w:rPr>
        <w:t>.</w:t>
      </w:r>
    </w:p>
    <w:p w14:paraId="1F93A9DE" w14:textId="0B41F262" w:rsidR="00381A7E" w:rsidRPr="00AB67EE" w:rsidRDefault="004C2DEF" w:rsidP="00AB67EE">
      <w:pPr>
        <w:pStyle w:val="Lijstalinea"/>
        <w:numPr>
          <w:ilvl w:val="0"/>
          <w:numId w:val="26"/>
        </w:numPr>
        <w:rPr>
          <w:rFonts w:ascii="Verdana" w:hAnsi="Verdana"/>
          <w:sz w:val="18"/>
          <w:szCs w:val="18"/>
          <w:lang w:val="fr-BE"/>
        </w:rPr>
      </w:pPr>
      <w:r w:rsidRPr="00AB67EE">
        <w:rPr>
          <w:rFonts w:ascii="Verdana" w:hAnsi="Verdana"/>
          <w:sz w:val="18"/>
          <w:szCs w:val="18"/>
          <w:lang w:val="fr-BE"/>
        </w:rPr>
        <w:t>C</w:t>
      </w:r>
      <w:r w:rsidR="00435648" w:rsidRPr="00AB67EE">
        <w:rPr>
          <w:rFonts w:ascii="Verdana" w:hAnsi="Verdana"/>
          <w:sz w:val="18"/>
          <w:szCs w:val="18"/>
          <w:lang w:val="fr-BE"/>
        </w:rPr>
        <w:t xml:space="preserve">e libellé s’applique aussi aux </w:t>
      </w:r>
      <w:r w:rsidR="005D3CF7" w:rsidRPr="00AB67EE">
        <w:rPr>
          <w:rFonts w:ascii="Verdana" w:hAnsi="Verdana"/>
          <w:sz w:val="18"/>
          <w:szCs w:val="18"/>
          <w:lang w:val="fr-BE"/>
        </w:rPr>
        <w:t xml:space="preserve">association </w:t>
      </w:r>
      <w:r w:rsidR="00435648" w:rsidRPr="00AB67EE">
        <w:rPr>
          <w:rFonts w:ascii="Verdana" w:hAnsi="Verdana"/>
          <w:sz w:val="18"/>
          <w:szCs w:val="18"/>
          <w:lang w:val="fr-BE"/>
        </w:rPr>
        <w:t>médicament</w:t>
      </w:r>
      <w:r w:rsidR="005D3CF7" w:rsidRPr="00AB67EE">
        <w:rPr>
          <w:rFonts w:ascii="Verdana" w:hAnsi="Verdana"/>
          <w:sz w:val="18"/>
          <w:szCs w:val="18"/>
          <w:lang w:val="fr-BE"/>
        </w:rPr>
        <w:t>euse</w:t>
      </w:r>
      <w:r w:rsidR="00435648" w:rsidRPr="00AB67EE">
        <w:rPr>
          <w:rFonts w:ascii="Verdana" w:hAnsi="Verdana"/>
          <w:sz w:val="18"/>
          <w:szCs w:val="18"/>
          <w:lang w:val="fr-BE"/>
        </w:rPr>
        <w:t>s contenant une ou plusieurs substances actives en dehors du paracétamol, sauf s’il existe déjà des restriction</w:t>
      </w:r>
      <w:r w:rsidR="005D3CF7" w:rsidRPr="00AB67EE">
        <w:rPr>
          <w:rFonts w:ascii="Verdana" w:hAnsi="Verdana"/>
          <w:sz w:val="18"/>
          <w:szCs w:val="18"/>
          <w:lang w:val="fr-BE"/>
        </w:rPr>
        <w:t>s</w:t>
      </w:r>
      <w:r w:rsidR="00435648" w:rsidRPr="00AB67EE">
        <w:rPr>
          <w:rFonts w:ascii="Verdana" w:hAnsi="Verdana"/>
          <w:sz w:val="18"/>
          <w:szCs w:val="18"/>
          <w:lang w:val="fr-BE"/>
        </w:rPr>
        <w:t xml:space="preserve"> plus sévères à l’utili</w:t>
      </w:r>
      <w:r w:rsidR="005D3CF7" w:rsidRPr="00AB67EE">
        <w:rPr>
          <w:rFonts w:ascii="Verdana" w:hAnsi="Verdana"/>
          <w:sz w:val="18"/>
          <w:szCs w:val="18"/>
          <w:lang w:val="fr-BE"/>
        </w:rPr>
        <w:t xml:space="preserve">sation de l’association </w:t>
      </w:r>
      <w:r w:rsidR="00435648" w:rsidRPr="00AB67EE">
        <w:rPr>
          <w:rFonts w:ascii="Verdana" w:hAnsi="Verdana"/>
          <w:sz w:val="18"/>
          <w:szCs w:val="18"/>
          <w:lang w:val="fr-BE"/>
        </w:rPr>
        <w:t>pendant la grossesse (tel qu’un contre-indication) à cause de</w:t>
      </w:r>
      <w:r w:rsidR="005D3CF7" w:rsidRPr="00AB67EE">
        <w:rPr>
          <w:rFonts w:ascii="Verdana" w:hAnsi="Verdana"/>
          <w:sz w:val="18"/>
          <w:szCs w:val="18"/>
          <w:lang w:val="fr-BE"/>
        </w:rPr>
        <w:t>(</w:t>
      </w:r>
      <w:r w:rsidR="00435648" w:rsidRPr="00AB67EE">
        <w:rPr>
          <w:rFonts w:ascii="Verdana" w:hAnsi="Verdana"/>
          <w:sz w:val="18"/>
          <w:szCs w:val="18"/>
          <w:lang w:val="fr-BE"/>
        </w:rPr>
        <w:t>s</w:t>
      </w:r>
      <w:r w:rsidR="005D3CF7" w:rsidRPr="00AB67EE">
        <w:rPr>
          <w:rFonts w:ascii="Verdana" w:hAnsi="Verdana"/>
          <w:sz w:val="18"/>
          <w:szCs w:val="18"/>
          <w:lang w:val="fr-BE"/>
        </w:rPr>
        <w:t>)</w:t>
      </w:r>
      <w:r w:rsidR="00435648" w:rsidRPr="00AB67EE">
        <w:rPr>
          <w:rFonts w:ascii="Verdana" w:hAnsi="Verdana"/>
          <w:sz w:val="18"/>
          <w:szCs w:val="18"/>
          <w:lang w:val="fr-BE"/>
        </w:rPr>
        <w:t xml:space="preserve"> autre</w:t>
      </w:r>
      <w:r w:rsidR="005D3CF7" w:rsidRPr="00AB67EE">
        <w:rPr>
          <w:rFonts w:ascii="Verdana" w:hAnsi="Verdana"/>
          <w:sz w:val="18"/>
          <w:szCs w:val="18"/>
          <w:lang w:val="fr-BE"/>
        </w:rPr>
        <w:t>(</w:t>
      </w:r>
      <w:r w:rsidR="00435648" w:rsidRPr="00AB67EE">
        <w:rPr>
          <w:rFonts w:ascii="Verdana" w:hAnsi="Verdana"/>
          <w:sz w:val="18"/>
          <w:szCs w:val="18"/>
          <w:lang w:val="fr-BE"/>
        </w:rPr>
        <w:t>s</w:t>
      </w:r>
      <w:r w:rsidR="005D3CF7" w:rsidRPr="00AB67EE">
        <w:rPr>
          <w:rFonts w:ascii="Verdana" w:hAnsi="Verdana"/>
          <w:sz w:val="18"/>
          <w:szCs w:val="18"/>
          <w:lang w:val="fr-BE"/>
        </w:rPr>
        <w:t>)</w:t>
      </w:r>
      <w:r w:rsidR="00435648" w:rsidRPr="00AB67EE">
        <w:rPr>
          <w:rFonts w:ascii="Verdana" w:hAnsi="Verdana"/>
          <w:sz w:val="18"/>
          <w:szCs w:val="18"/>
          <w:lang w:val="fr-BE"/>
        </w:rPr>
        <w:t xml:space="preserve"> substance</w:t>
      </w:r>
      <w:r w:rsidR="005D3CF7" w:rsidRPr="00AB67EE">
        <w:rPr>
          <w:rFonts w:ascii="Verdana" w:hAnsi="Verdana"/>
          <w:sz w:val="18"/>
          <w:szCs w:val="18"/>
          <w:lang w:val="fr-BE"/>
        </w:rPr>
        <w:t>(</w:t>
      </w:r>
      <w:r w:rsidR="00435648" w:rsidRPr="00AB67EE">
        <w:rPr>
          <w:rFonts w:ascii="Verdana" w:hAnsi="Verdana"/>
          <w:sz w:val="18"/>
          <w:szCs w:val="18"/>
          <w:lang w:val="fr-BE"/>
        </w:rPr>
        <w:t>s</w:t>
      </w:r>
      <w:r w:rsidR="005D3CF7" w:rsidRPr="00AB67EE">
        <w:rPr>
          <w:rFonts w:ascii="Verdana" w:hAnsi="Verdana"/>
          <w:sz w:val="18"/>
          <w:szCs w:val="18"/>
          <w:lang w:val="fr-BE"/>
        </w:rPr>
        <w:t>)</w:t>
      </w:r>
      <w:r w:rsidR="00435648" w:rsidRPr="00AB67EE">
        <w:rPr>
          <w:rFonts w:ascii="Verdana" w:hAnsi="Verdana"/>
          <w:sz w:val="18"/>
          <w:szCs w:val="18"/>
          <w:lang w:val="fr-BE"/>
        </w:rPr>
        <w:t xml:space="preserve"> active</w:t>
      </w:r>
      <w:r w:rsidR="005D3CF7" w:rsidRPr="00AB67EE">
        <w:rPr>
          <w:rFonts w:ascii="Verdana" w:hAnsi="Verdana"/>
          <w:sz w:val="18"/>
          <w:szCs w:val="18"/>
          <w:lang w:val="fr-BE"/>
        </w:rPr>
        <w:t>(</w:t>
      </w:r>
      <w:r w:rsidR="00435648" w:rsidRPr="00AB67EE">
        <w:rPr>
          <w:rFonts w:ascii="Verdana" w:hAnsi="Verdana"/>
          <w:sz w:val="18"/>
          <w:szCs w:val="18"/>
          <w:lang w:val="fr-BE"/>
        </w:rPr>
        <w:t>s</w:t>
      </w:r>
      <w:r w:rsidR="005D3CF7" w:rsidRPr="00AB67EE">
        <w:rPr>
          <w:rFonts w:ascii="Verdana" w:hAnsi="Verdana"/>
          <w:sz w:val="18"/>
          <w:szCs w:val="18"/>
          <w:lang w:val="fr-BE"/>
        </w:rPr>
        <w:t>)</w:t>
      </w:r>
      <w:r w:rsidR="00435648" w:rsidRPr="00AB67EE">
        <w:rPr>
          <w:rFonts w:ascii="Verdana" w:hAnsi="Verdana"/>
          <w:sz w:val="18"/>
          <w:szCs w:val="18"/>
          <w:lang w:val="fr-BE"/>
        </w:rPr>
        <w:t xml:space="preserve">. Dans </w:t>
      </w:r>
      <w:r w:rsidR="005D3CF7" w:rsidRPr="00AB67EE">
        <w:rPr>
          <w:rFonts w:ascii="Verdana" w:hAnsi="Verdana"/>
          <w:sz w:val="18"/>
          <w:szCs w:val="18"/>
          <w:lang w:val="fr-BE"/>
        </w:rPr>
        <w:t>ce dernier cas</w:t>
      </w:r>
      <w:r w:rsidR="00435648" w:rsidRPr="00AB67EE">
        <w:rPr>
          <w:rFonts w:ascii="Verdana" w:hAnsi="Verdana"/>
          <w:sz w:val="18"/>
          <w:szCs w:val="18"/>
          <w:lang w:val="fr-BE"/>
        </w:rPr>
        <w:t xml:space="preserve">, la restriction la plus sévère </w:t>
      </w:r>
      <w:r w:rsidR="005D3CF7" w:rsidRPr="00AB67EE">
        <w:rPr>
          <w:rFonts w:ascii="Verdana" w:hAnsi="Verdana"/>
          <w:sz w:val="18"/>
          <w:szCs w:val="18"/>
          <w:lang w:val="fr-BE"/>
        </w:rPr>
        <w:t>supplante</w:t>
      </w:r>
      <w:r w:rsidR="00435648" w:rsidRPr="00AB67EE">
        <w:rPr>
          <w:rFonts w:ascii="Verdana" w:hAnsi="Verdana"/>
          <w:sz w:val="18"/>
          <w:szCs w:val="18"/>
          <w:lang w:val="fr-BE"/>
        </w:rPr>
        <w:t xml:space="preserve"> le texte adopté pour le signal. </w:t>
      </w:r>
    </w:p>
    <w:p w14:paraId="726E34EF" w14:textId="77777777" w:rsidR="002038C0" w:rsidRPr="00AB67EE" w:rsidRDefault="002038C0" w:rsidP="006947BE">
      <w:pPr>
        <w:rPr>
          <w:rFonts w:ascii="Verdana" w:hAnsi="Verdana" w:cs="Arial"/>
          <w:b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br w:type="page"/>
      </w:r>
    </w:p>
    <w:p w14:paraId="6C9C2311" w14:textId="01857115" w:rsidR="002038C0" w:rsidRPr="00844373" w:rsidRDefault="002038C0" w:rsidP="00AB67EE">
      <w:pPr>
        <w:tabs>
          <w:tab w:val="left" w:pos="480"/>
        </w:tabs>
        <w:rPr>
          <w:rFonts w:ascii="Verdana" w:hAnsi="Verdana" w:cs="Arial"/>
          <w:b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lastRenderedPageBreak/>
        <w:t>Résumé des caractéristiques du produit</w:t>
      </w:r>
      <w:r w:rsidR="008A74A4">
        <w:rPr>
          <w:rFonts w:ascii="Verdana" w:hAnsi="Verdana" w:cs="Arial"/>
          <w:b/>
          <w:sz w:val="18"/>
          <w:szCs w:val="18"/>
          <w:lang w:val="fr-BE"/>
        </w:rPr>
        <w:t xml:space="preserve"> (RCP)</w:t>
      </w:r>
    </w:p>
    <w:p w14:paraId="161F30DC" w14:textId="77777777" w:rsidR="00700742" w:rsidRPr="00AB67EE" w:rsidRDefault="00700742" w:rsidP="00AB67EE">
      <w:pPr>
        <w:tabs>
          <w:tab w:val="left" w:pos="480"/>
        </w:tabs>
        <w:rPr>
          <w:rFonts w:ascii="Verdana" w:hAnsi="Verdana" w:cs="Arial"/>
          <w:b/>
          <w:sz w:val="18"/>
          <w:szCs w:val="18"/>
          <w:lang w:val="fr-BE"/>
        </w:rPr>
      </w:pPr>
    </w:p>
    <w:p w14:paraId="3CFA3A50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b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4.2 Posologie et mode d’administration</w:t>
      </w:r>
    </w:p>
    <w:p w14:paraId="669BE1B5" w14:textId="5961B77A" w:rsidR="002038C0" w:rsidRPr="00844373" w:rsidRDefault="002038C0" w:rsidP="00AB67EE">
      <w:pPr>
        <w:tabs>
          <w:tab w:val="left" w:pos="480"/>
        </w:tabs>
        <w:rPr>
          <w:rFonts w:ascii="Verdana" w:hAnsi="Verdana" w:cs="Arial"/>
          <w:color w:val="0000FF"/>
          <w:sz w:val="18"/>
          <w:szCs w:val="18"/>
          <w:lang w:val="fr-BE"/>
        </w:rPr>
      </w:pP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&lt;</w:t>
      </w:r>
      <w:r w:rsidR="00827F02" w:rsidRPr="00844373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Si le dosage/la forme pharmaceutique ne conviennent </w:t>
      </w:r>
      <w:r w:rsidR="00A83601"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pas 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pour une certaine catégorie d’âge, cela doit être indiqué, et il peut éventuellement être fait référence aux dosages/présentations qui conviennent, par exemple :</w:t>
      </w:r>
    </w:p>
    <w:p w14:paraId="4CC355D1" w14:textId="77777777" w:rsidR="00700742" w:rsidRPr="00AB67EE" w:rsidRDefault="00700742" w:rsidP="00AB67EE">
      <w:pPr>
        <w:tabs>
          <w:tab w:val="left" w:pos="480"/>
        </w:tabs>
        <w:rPr>
          <w:rFonts w:ascii="Verdana" w:hAnsi="Verdana" w:cs="Arial"/>
          <w:color w:val="0000FF"/>
          <w:sz w:val="18"/>
          <w:szCs w:val="18"/>
          <w:lang w:val="fr-BE"/>
        </w:rPr>
      </w:pPr>
    </w:p>
    <w:p w14:paraId="0B27E3BB" w14:textId="14C8A7F4" w:rsidR="006947BE" w:rsidRPr="008C7774" w:rsidRDefault="002038C0" w:rsidP="00AD3E29">
      <w:pPr>
        <w:numPr>
          <w:ilvl w:val="0"/>
          <w:numId w:val="9"/>
        </w:numPr>
        <w:tabs>
          <w:tab w:val="clear" w:pos="360"/>
          <w:tab w:val="num" w:pos="426"/>
        </w:tabs>
        <w:ind w:left="284" w:hanging="284"/>
        <w:rPr>
          <w:rFonts w:ascii="Verdana" w:hAnsi="Verdana" w:cs="Arial"/>
          <w:color w:val="0000FF"/>
          <w:sz w:val="18"/>
          <w:szCs w:val="18"/>
          <w:lang w:val="fr-BE"/>
        </w:rPr>
      </w:pPr>
      <w:r w:rsidRPr="00844373">
        <w:rPr>
          <w:rFonts w:ascii="Verdana" w:hAnsi="Verdana" w:cs="Arial"/>
          <w:color w:val="0000FF"/>
          <w:sz w:val="18"/>
          <w:szCs w:val="18"/>
          <w:lang w:val="fr-BE"/>
        </w:rPr>
        <w:t xml:space="preserve">Paracétamol 1000 mg (non sécable) : « Cette présentation est destinée à un usage chez les adultes et les adolescents </w:t>
      </w:r>
      <w:r w:rsidRPr="008C7774">
        <w:rPr>
          <w:rFonts w:ascii="Verdana" w:hAnsi="Verdana" w:cs="Arial"/>
          <w:color w:val="0000FF"/>
          <w:sz w:val="18"/>
          <w:szCs w:val="18"/>
          <w:lang w:val="fr-BE"/>
        </w:rPr>
        <w:t>de 16 ans ou plus (poids corporel &gt; 50 kg)</w:t>
      </w:r>
      <w:r w:rsidR="00802057" w:rsidRPr="008C7774">
        <w:rPr>
          <w:rFonts w:ascii="Verdana" w:hAnsi="Verdana" w:cs="Arial"/>
          <w:color w:val="0000FF"/>
          <w:sz w:val="18"/>
          <w:szCs w:val="18"/>
          <w:lang w:val="fr-BE"/>
        </w:rPr>
        <w:t>.</w:t>
      </w:r>
      <w:r w:rsidRPr="008C7774">
        <w:rPr>
          <w:rFonts w:ascii="Verdana" w:hAnsi="Verdana" w:cs="Arial"/>
          <w:color w:val="0000FF"/>
          <w:sz w:val="18"/>
          <w:szCs w:val="18"/>
          <w:lang w:val="fr-BE"/>
        </w:rPr>
        <w:t> »</w:t>
      </w:r>
    </w:p>
    <w:p w14:paraId="6E223FBD" w14:textId="70DFECF1" w:rsidR="002038C0" w:rsidRPr="008C7774" w:rsidRDefault="002038C0" w:rsidP="00AD3E29">
      <w:pPr>
        <w:numPr>
          <w:ilvl w:val="0"/>
          <w:numId w:val="9"/>
        </w:numPr>
        <w:tabs>
          <w:tab w:val="num" w:pos="567"/>
        </w:tabs>
        <w:ind w:left="284" w:hanging="284"/>
        <w:rPr>
          <w:rFonts w:ascii="Verdana" w:hAnsi="Verdana" w:cs="Arial"/>
          <w:color w:val="0000FF"/>
          <w:sz w:val="18"/>
          <w:szCs w:val="18"/>
          <w:lang w:val="fr-BE"/>
        </w:rPr>
      </w:pPr>
      <w:r w:rsidRPr="008C7774">
        <w:rPr>
          <w:rFonts w:ascii="Verdana" w:hAnsi="Verdana" w:cs="Arial"/>
          <w:color w:val="0000FF"/>
          <w:sz w:val="18"/>
          <w:szCs w:val="18"/>
          <w:lang w:val="fr-BE"/>
        </w:rPr>
        <w:t>Paracétamol 500 mg (non sécable) : « Cette présentation est destinée à un usage chez les adultes et</w:t>
      </w:r>
      <w:r w:rsidR="00310811" w:rsidRPr="008C7774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r w:rsidRPr="008C7774">
        <w:rPr>
          <w:rFonts w:ascii="Verdana" w:hAnsi="Verdana" w:cs="Arial"/>
          <w:color w:val="0000FF"/>
          <w:sz w:val="18"/>
          <w:szCs w:val="18"/>
          <w:lang w:val="fr-BE"/>
        </w:rPr>
        <w:t>les adolescents de 12 ans ou plus</w:t>
      </w:r>
      <w:r w:rsidR="00802057" w:rsidRPr="008C7774">
        <w:rPr>
          <w:rFonts w:ascii="Verdana" w:hAnsi="Verdana" w:cs="Arial"/>
          <w:color w:val="0000FF"/>
          <w:sz w:val="18"/>
          <w:szCs w:val="18"/>
          <w:lang w:val="fr-BE"/>
        </w:rPr>
        <w:t>.</w:t>
      </w:r>
      <w:r w:rsidRPr="008C7774">
        <w:rPr>
          <w:rFonts w:ascii="Verdana" w:hAnsi="Verdana" w:cs="Arial"/>
          <w:color w:val="0000FF"/>
          <w:sz w:val="18"/>
          <w:szCs w:val="18"/>
          <w:lang w:val="fr-BE"/>
        </w:rPr>
        <w:t> »</w:t>
      </w:r>
      <w:r w:rsidR="00827F02" w:rsidRPr="008C7774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r w:rsidR="00802057" w:rsidRPr="008C7774">
        <w:rPr>
          <w:rFonts w:ascii="Verdana" w:hAnsi="Verdana" w:cs="Arial"/>
          <w:color w:val="0000FF"/>
          <w:sz w:val="18"/>
          <w:szCs w:val="18"/>
          <w:lang w:val="fr-BE"/>
        </w:rPr>
        <w:t>&gt;</w:t>
      </w:r>
    </w:p>
    <w:p w14:paraId="32F42CA6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b/>
          <w:sz w:val="18"/>
          <w:szCs w:val="18"/>
          <w:u w:val="single"/>
          <w:lang w:val="fr-BE"/>
        </w:rPr>
      </w:pPr>
    </w:p>
    <w:p w14:paraId="5C61A0DD" w14:textId="4E6C74CB" w:rsidR="002038C0" w:rsidRPr="00AB67EE" w:rsidRDefault="002038C0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La durée du traitement doit être la plus courte possible et limitée à la pér</w:t>
      </w:r>
      <w:r w:rsidR="008A74A4">
        <w:rPr>
          <w:rFonts w:ascii="Verdana" w:hAnsi="Verdana" w:cs="Arial"/>
          <w:sz w:val="18"/>
          <w:szCs w:val="18"/>
          <w:lang w:val="fr-BE"/>
        </w:rPr>
        <w:t>iode de présence des symptômes.</w:t>
      </w:r>
    </w:p>
    <w:p w14:paraId="28651FD8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b/>
          <w:sz w:val="18"/>
          <w:szCs w:val="18"/>
          <w:u w:val="single"/>
          <w:lang w:val="fr-BE"/>
        </w:rPr>
      </w:pPr>
    </w:p>
    <w:p w14:paraId="2E38B8BD" w14:textId="5991C752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u w:val="single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Posologie</w:t>
      </w:r>
    </w:p>
    <w:p w14:paraId="5113F91C" w14:textId="06A6E021" w:rsidR="002038C0" w:rsidRPr="00235FCE" w:rsidRDefault="002038C0" w:rsidP="00235FCE">
      <w:pPr>
        <w:pStyle w:val="Lijstalinea"/>
        <w:numPr>
          <w:ilvl w:val="0"/>
          <w:numId w:val="31"/>
        </w:numPr>
        <w:ind w:left="284" w:hanging="284"/>
        <w:contextualSpacing w:val="0"/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Enfants et adolescents (poids corporel &lt; 50 kg)</w:t>
      </w:r>
      <w:r w:rsidRPr="00D82EE4">
        <w:rPr>
          <w:rFonts w:ascii="Verdana" w:hAnsi="Verdana" w:cs="Arial"/>
          <w:sz w:val="18"/>
          <w:szCs w:val="18"/>
          <w:vertAlign w:val="superscript"/>
          <w:lang w:val="fr-BE"/>
        </w:rPr>
        <w:t>[2,5]</w:t>
      </w:r>
      <w:r w:rsidR="00D82EE4" w:rsidRPr="00D82EE4">
        <w:rPr>
          <w:rFonts w:ascii="Verdana" w:hAnsi="Verdana" w:cs="Arial"/>
          <w:sz w:val="18"/>
          <w:szCs w:val="18"/>
          <w:vertAlign w:val="superscript"/>
          <w:lang w:val="fr-BE"/>
        </w:rPr>
        <w:t xml:space="preserve"> </w:t>
      </w:r>
    </w:p>
    <w:p w14:paraId="064887D5" w14:textId="0C7D0CBD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La dose habituelle</w:t>
      </w:r>
      <w:r w:rsidRPr="00AB67EE">
        <w:rPr>
          <w:rStyle w:val="Voetnootmarkering"/>
          <w:rFonts w:ascii="Verdana" w:hAnsi="Verdana" w:cs="Arial"/>
          <w:sz w:val="18"/>
          <w:szCs w:val="18"/>
          <w:lang w:val="fr-BE"/>
        </w:rPr>
        <w:footnoteReference w:id="1"/>
      </w:r>
      <w:r w:rsidR="007626E4" w:rsidRPr="00AB67EE">
        <w:rPr>
          <w:rFonts w:ascii="Verdana" w:hAnsi="Verdana" w:cs="Arial"/>
          <w:sz w:val="18"/>
          <w:szCs w:val="18"/>
          <w:lang w:val="fr-BE"/>
        </w:rPr>
        <w:t xml:space="preserve"> e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st de 15 mg/kg par administration, jusqu’à </w:t>
      </w:r>
      <w:r w:rsidR="006A5D83" w:rsidRPr="00AB67EE">
        <w:rPr>
          <w:rFonts w:ascii="Verdana" w:hAnsi="Verdana" w:cs="Arial"/>
          <w:sz w:val="18"/>
          <w:szCs w:val="18"/>
          <w:lang w:val="fr-BE"/>
        </w:rPr>
        <w:t xml:space="preserve">maximum </w:t>
      </w:r>
      <w:r w:rsidR="002C3A1B">
        <w:rPr>
          <w:rFonts w:ascii="Verdana" w:hAnsi="Verdana" w:cs="Arial"/>
          <w:sz w:val="18"/>
          <w:szCs w:val="18"/>
          <w:lang w:val="fr-BE"/>
        </w:rPr>
        <w:t>4</w:t>
      </w:r>
      <w:r w:rsidR="00235FCE">
        <w:rPr>
          <w:rFonts w:ascii="Verdana" w:hAnsi="Verdana" w:cs="Arial"/>
          <w:sz w:val="18"/>
          <w:szCs w:val="18"/>
          <w:lang w:val="fr-BE"/>
        </w:rPr>
        <w:t xml:space="preserve"> fois par jour.</w:t>
      </w:r>
    </w:p>
    <w:p w14:paraId="4F45B347" w14:textId="6FB2C1D1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L’intervalle </w:t>
      </w:r>
      <w:r w:rsidR="007E760D" w:rsidRPr="00AB67EE">
        <w:rPr>
          <w:rFonts w:ascii="Verdana" w:hAnsi="Verdana" w:cs="Arial"/>
          <w:sz w:val="18"/>
          <w:szCs w:val="18"/>
          <w:lang w:val="fr-BE"/>
        </w:rPr>
        <w:t xml:space="preserve">entre deux </w:t>
      </w:r>
      <w:r w:rsidRPr="00AB67EE">
        <w:rPr>
          <w:rFonts w:ascii="Verdana" w:hAnsi="Verdana" w:cs="Arial"/>
          <w:sz w:val="18"/>
          <w:szCs w:val="18"/>
          <w:lang w:val="fr-BE"/>
        </w:rPr>
        <w:t>administration</w:t>
      </w:r>
      <w:r w:rsidR="001F68D1" w:rsidRPr="00AB67EE">
        <w:rPr>
          <w:rFonts w:ascii="Verdana" w:hAnsi="Verdana" w:cs="Arial"/>
          <w:sz w:val="18"/>
          <w:szCs w:val="18"/>
          <w:lang w:val="fr-BE"/>
        </w:rPr>
        <w:t>s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 doit être d’au moins 4 heures. Les doses maximales sont de 15 mg/kg par prise et de 60 mg/kg/jour.</w:t>
      </w:r>
    </w:p>
    <w:p w14:paraId="3FFB9B1C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</w:p>
    <w:p w14:paraId="327A65BA" w14:textId="350A8511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color w:val="0000FF"/>
          <w:sz w:val="18"/>
          <w:szCs w:val="18"/>
          <w:lang w:val="fr-BE"/>
        </w:rPr>
      </w:pPr>
      <w:r w:rsidRPr="00235FCE">
        <w:rPr>
          <w:rFonts w:ascii="Verdana" w:hAnsi="Verdana" w:cs="Arial"/>
          <w:color w:val="0000FF"/>
          <w:sz w:val="18"/>
          <w:szCs w:val="18"/>
          <w:lang w:val="fr-BE"/>
        </w:rPr>
        <w:t>&lt;</w:t>
      </w:r>
      <w:r w:rsidR="00827F02" w:rsidRPr="00235FCE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Des mises en garde spéciales doivent être ajoutées pour chaque présentation/dosage, de préférence exprimées par catégorie d’âge et poids corporel.</w:t>
      </w:r>
    </w:p>
    <w:p w14:paraId="220BBFA0" w14:textId="77777777" w:rsidR="00235FCE" w:rsidRPr="00AB67EE" w:rsidRDefault="002038C0" w:rsidP="00235FCE">
      <w:pPr>
        <w:tabs>
          <w:tab w:val="left" w:pos="480"/>
        </w:tabs>
        <w:rPr>
          <w:rFonts w:ascii="Verdana" w:hAnsi="Verdana" w:cs="Arial"/>
          <w:color w:val="0000FF"/>
          <w:sz w:val="18"/>
          <w:szCs w:val="18"/>
          <w:lang w:val="fr-BE"/>
        </w:rPr>
      </w:pP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Pour les </w:t>
      </w:r>
      <w:r w:rsidR="00202506" w:rsidRPr="00AB67EE">
        <w:rPr>
          <w:rFonts w:ascii="Verdana" w:hAnsi="Verdana" w:cs="Arial"/>
          <w:color w:val="0000FF"/>
          <w:sz w:val="18"/>
          <w:szCs w:val="18"/>
          <w:lang w:val="fr-BE"/>
        </w:rPr>
        <w:t>formulations liquides orales (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solutions</w:t>
      </w:r>
      <w:r w:rsidR="00202506"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, suspensions, 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sirop</w:t>
      </w:r>
      <w:r w:rsidR="002265CF" w:rsidRPr="00844373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r w:rsidR="00202506" w:rsidRPr="00AB67EE">
        <w:rPr>
          <w:rFonts w:ascii="Verdana" w:hAnsi="Verdana" w:cs="Arial"/>
          <w:color w:val="0000FF"/>
          <w:sz w:val="18"/>
          <w:szCs w:val="18"/>
          <w:lang w:val="fr-BE"/>
        </w:rPr>
        <w:t>…</w:t>
      </w:r>
      <w:r w:rsidR="00202506" w:rsidRPr="00AB67EE">
        <w:rPr>
          <w:rFonts w:ascii="Verdana" w:hAnsi="Verdana" w:cs="Arial"/>
          <w:color w:val="0000FF"/>
          <w:sz w:val="18"/>
          <w:szCs w:val="18"/>
          <w:u w:val="single"/>
          <w:lang w:val="fr-BE"/>
        </w:rPr>
        <w:t>)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, une pipette doit être disponible avec une graduation qui soit suffisamment précise, pour pouvoir administrer la dose correcte en fonction du poids corporel.</w:t>
      </w:r>
      <w:r w:rsidR="00235FCE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r w:rsidR="00235FCE" w:rsidRPr="00AB67EE">
        <w:rPr>
          <w:rFonts w:ascii="Verdana" w:hAnsi="Verdana" w:cs="Arial"/>
          <w:color w:val="0000FF"/>
          <w:sz w:val="18"/>
          <w:szCs w:val="18"/>
          <w:lang w:val="fr-BE"/>
        </w:rPr>
        <w:t>&gt;</w:t>
      </w:r>
    </w:p>
    <w:p w14:paraId="37C31B3E" w14:textId="77777777" w:rsidR="00235FCE" w:rsidRPr="00AB67EE" w:rsidRDefault="00235FCE" w:rsidP="00235FCE">
      <w:pPr>
        <w:tabs>
          <w:tab w:val="left" w:pos="480"/>
        </w:tabs>
        <w:rPr>
          <w:rFonts w:ascii="Verdana" w:hAnsi="Verdana" w:cs="Arial"/>
          <w:color w:val="0000FF"/>
          <w:sz w:val="18"/>
          <w:szCs w:val="18"/>
          <w:lang w:val="fr-BE"/>
        </w:rPr>
      </w:pPr>
    </w:p>
    <w:p w14:paraId="6E8F1EE9" w14:textId="38F49953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color w:val="0000FF"/>
          <w:sz w:val="18"/>
          <w:szCs w:val="18"/>
          <w:lang w:val="fr-BE"/>
        </w:rPr>
      </w:pP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Le tableau suivant, extrait du « Nelson </w:t>
      </w:r>
      <w:proofErr w:type="spellStart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textbook</w:t>
      </w:r>
      <w:proofErr w:type="spellEnd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 of </w:t>
      </w:r>
      <w:proofErr w:type="spellStart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pediatrics</w:t>
      </w:r>
      <w:proofErr w:type="spellEnd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 », peut être utilisé pour vérifier les doses</w:t>
      </w:r>
      <w:r w:rsidR="00523139" w:rsidRPr="00844373">
        <w:rPr>
          <w:rFonts w:ascii="Verdana" w:hAnsi="Verdana" w:cs="Arial"/>
          <w:color w:val="0000FF"/>
          <w:sz w:val="18"/>
          <w:szCs w:val="18"/>
          <w:lang w:val="fr-BE"/>
        </w:rPr>
        <w:t>.</w:t>
      </w:r>
    </w:p>
    <w:p w14:paraId="03A1CA68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color w:val="0000FF"/>
          <w:sz w:val="18"/>
          <w:szCs w:val="18"/>
          <w:lang w:val="fr-B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7"/>
      </w:tblGrid>
      <w:tr w:rsidR="002038C0" w:rsidRPr="00844373" w14:paraId="74FE504A" w14:textId="77777777" w:rsidTr="00235FCE">
        <w:tc>
          <w:tcPr>
            <w:tcW w:w="4817" w:type="dxa"/>
          </w:tcPr>
          <w:p w14:paraId="70DEB1B3" w14:textId="77777777" w:rsidR="002038C0" w:rsidRPr="00AB67EE" w:rsidRDefault="002038C0" w:rsidP="00235FCE">
            <w:pPr>
              <w:tabs>
                <w:tab w:val="left" w:pos="480"/>
              </w:tabs>
              <w:jc w:val="center"/>
              <w:rPr>
                <w:rFonts w:ascii="Verdana" w:hAnsi="Verdana" w:cs="Arial"/>
                <w:b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b/>
                <w:color w:val="0000FF"/>
                <w:sz w:val="18"/>
                <w:szCs w:val="18"/>
                <w:lang w:val="fr-BE"/>
              </w:rPr>
              <w:t>Âge</w:t>
            </w:r>
          </w:p>
        </w:tc>
        <w:tc>
          <w:tcPr>
            <w:tcW w:w="4817" w:type="dxa"/>
          </w:tcPr>
          <w:p w14:paraId="2A540987" w14:textId="77777777" w:rsidR="002038C0" w:rsidRPr="00AB67EE" w:rsidRDefault="002038C0" w:rsidP="00235FCE">
            <w:pPr>
              <w:tabs>
                <w:tab w:val="left" w:pos="480"/>
              </w:tabs>
              <w:jc w:val="center"/>
              <w:rPr>
                <w:rFonts w:ascii="Verdana" w:hAnsi="Verdana" w:cs="Arial"/>
                <w:b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b/>
                <w:color w:val="0000FF"/>
                <w:sz w:val="18"/>
                <w:szCs w:val="18"/>
                <w:lang w:val="fr-BE"/>
              </w:rPr>
              <w:t>Poids corporel</w:t>
            </w:r>
          </w:p>
        </w:tc>
      </w:tr>
      <w:tr w:rsidR="002038C0" w:rsidRPr="00844373" w14:paraId="5C8132CD" w14:textId="77777777" w:rsidTr="00235FCE">
        <w:tc>
          <w:tcPr>
            <w:tcW w:w="4817" w:type="dxa"/>
          </w:tcPr>
          <w:p w14:paraId="5B5B1553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0-3 mois</w:t>
            </w:r>
          </w:p>
        </w:tc>
        <w:tc>
          <w:tcPr>
            <w:tcW w:w="4817" w:type="dxa"/>
          </w:tcPr>
          <w:p w14:paraId="504E0777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3-6 kg</w:t>
            </w:r>
          </w:p>
        </w:tc>
      </w:tr>
      <w:tr w:rsidR="002038C0" w:rsidRPr="00844373" w14:paraId="0EFD0A49" w14:textId="77777777" w:rsidTr="00235FCE">
        <w:tc>
          <w:tcPr>
            <w:tcW w:w="4817" w:type="dxa"/>
          </w:tcPr>
          <w:p w14:paraId="6386C2C1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3-6 mois</w:t>
            </w:r>
          </w:p>
        </w:tc>
        <w:tc>
          <w:tcPr>
            <w:tcW w:w="4817" w:type="dxa"/>
          </w:tcPr>
          <w:p w14:paraId="43EA4F9D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6-8 kg</w:t>
            </w:r>
          </w:p>
        </w:tc>
      </w:tr>
      <w:tr w:rsidR="002038C0" w:rsidRPr="00844373" w14:paraId="141D8506" w14:textId="77777777" w:rsidTr="00235FCE">
        <w:tc>
          <w:tcPr>
            <w:tcW w:w="4817" w:type="dxa"/>
          </w:tcPr>
          <w:p w14:paraId="1C805A9A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6-12 mois</w:t>
            </w:r>
          </w:p>
        </w:tc>
        <w:tc>
          <w:tcPr>
            <w:tcW w:w="4817" w:type="dxa"/>
          </w:tcPr>
          <w:p w14:paraId="032095BF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8-10 kg</w:t>
            </w:r>
          </w:p>
        </w:tc>
      </w:tr>
      <w:tr w:rsidR="002038C0" w:rsidRPr="00844373" w14:paraId="0F225DA6" w14:textId="77777777" w:rsidTr="00235FCE">
        <w:tc>
          <w:tcPr>
            <w:tcW w:w="4817" w:type="dxa"/>
          </w:tcPr>
          <w:p w14:paraId="4B84F958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12-24 mois</w:t>
            </w:r>
          </w:p>
        </w:tc>
        <w:tc>
          <w:tcPr>
            <w:tcW w:w="4817" w:type="dxa"/>
          </w:tcPr>
          <w:p w14:paraId="475E7E5C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10-13 kg</w:t>
            </w:r>
          </w:p>
        </w:tc>
      </w:tr>
      <w:tr w:rsidR="002038C0" w:rsidRPr="00844373" w14:paraId="6B1A127A" w14:textId="77777777" w:rsidTr="00235FCE">
        <w:tc>
          <w:tcPr>
            <w:tcW w:w="4817" w:type="dxa"/>
          </w:tcPr>
          <w:p w14:paraId="346F750F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2-4 ans</w:t>
            </w:r>
          </w:p>
        </w:tc>
        <w:tc>
          <w:tcPr>
            <w:tcW w:w="4817" w:type="dxa"/>
          </w:tcPr>
          <w:p w14:paraId="32EA8C6D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13-17 kg</w:t>
            </w:r>
          </w:p>
        </w:tc>
      </w:tr>
      <w:tr w:rsidR="002038C0" w:rsidRPr="00844373" w14:paraId="29F467D9" w14:textId="77777777" w:rsidTr="00235FCE">
        <w:tc>
          <w:tcPr>
            <w:tcW w:w="4817" w:type="dxa"/>
          </w:tcPr>
          <w:p w14:paraId="6243CD33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4-7 ans</w:t>
            </w:r>
          </w:p>
        </w:tc>
        <w:tc>
          <w:tcPr>
            <w:tcW w:w="4817" w:type="dxa"/>
          </w:tcPr>
          <w:p w14:paraId="5E241988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17-23 kg</w:t>
            </w:r>
          </w:p>
        </w:tc>
      </w:tr>
      <w:tr w:rsidR="002038C0" w:rsidRPr="00844373" w14:paraId="2D77B4B4" w14:textId="77777777" w:rsidTr="00235FCE">
        <w:tc>
          <w:tcPr>
            <w:tcW w:w="4817" w:type="dxa"/>
          </w:tcPr>
          <w:p w14:paraId="2040C9D3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7-9 ans</w:t>
            </w:r>
          </w:p>
        </w:tc>
        <w:tc>
          <w:tcPr>
            <w:tcW w:w="4817" w:type="dxa"/>
          </w:tcPr>
          <w:p w14:paraId="708B5CE5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23-28 kg</w:t>
            </w:r>
          </w:p>
        </w:tc>
      </w:tr>
      <w:tr w:rsidR="002038C0" w:rsidRPr="00844373" w14:paraId="0B6BE8F2" w14:textId="77777777" w:rsidTr="00235FCE">
        <w:tc>
          <w:tcPr>
            <w:tcW w:w="4817" w:type="dxa"/>
          </w:tcPr>
          <w:p w14:paraId="645C2C70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9-12 ans</w:t>
            </w:r>
          </w:p>
        </w:tc>
        <w:tc>
          <w:tcPr>
            <w:tcW w:w="4817" w:type="dxa"/>
          </w:tcPr>
          <w:p w14:paraId="3F21B6BB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28-40 kg</w:t>
            </w:r>
          </w:p>
        </w:tc>
      </w:tr>
      <w:tr w:rsidR="002038C0" w:rsidRPr="00844373" w14:paraId="4ADEC819" w14:textId="77777777" w:rsidTr="00235FCE">
        <w:tc>
          <w:tcPr>
            <w:tcW w:w="4817" w:type="dxa"/>
          </w:tcPr>
          <w:p w14:paraId="45D44A8E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12 – 15 ans</w:t>
            </w:r>
          </w:p>
        </w:tc>
        <w:tc>
          <w:tcPr>
            <w:tcW w:w="4817" w:type="dxa"/>
          </w:tcPr>
          <w:p w14:paraId="7C3CFDBA" w14:textId="77777777" w:rsidR="002038C0" w:rsidRPr="00AB67EE" w:rsidRDefault="002038C0" w:rsidP="00235FCE">
            <w:pPr>
              <w:tabs>
                <w:tab w:val="left" w:pos="480"/>
              </w:tabs>
              <w:jc w:val="right"/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Arial"/>
                <w:color w:val="0000FF"/>
                <w:sz w:val="18"/>
                <w:szCs w:val="18"/>
                <w:lang w:val="fr-BE"/>
              </w:rPr>
              <w:t>41-50 kg</w:t>
            </w:r>
          </w:p>
        </w:tc>
      </w:tr>
    </w:tbl>
    <w:p w14:paraId="5FAF46EA" w14:textId="2A264843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color w:val="0000FF"/>
          <w:sz w:val="18"/>
          <w:szCs w:val="18"/>
          <w:u w:val="single"/>
          <w:lang w:val="fr-BE"/>
        </w:rPr>
      </w:pPr>
    </w:p>
    <w:p w14:paraId="6240650F" w14:textId="5BDA9385" w:rsidR="002038C0" w:rsidRPr="00AB67EE" w:rsidRDefault="00BA091B" w:rsidP="00AB67EE">
      <w:pPr>
        <w:tabs>
          <w:tab w:val="left" w:pos="480"/>
        </w:tabs>
        <w:rPr>
          <w:rFonts w:ascii="Verdana" w:hAnsi="Verdana" w:cs="Arial"/>
          <w:color w:val="0000FF"/>
          <w:sz w:val="18"/>
          <w:szCs w:val="18"/>
          <w:lang w:val="fr-BE"/>
        </w:rPr>
      </w:pP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&lt;</w:t>
      </w:r>
      <w:r w:rsidR="00523139" w:rsidRPr="00844373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r w:rsidR="00373A96" w:rsidRPr="00844373">
        <w:rPr>
          <w:rFonts w:ascii="Verdana" w:hAnsi="Verdana" w:cs="Arial"/>
          <w:color w:val="0000FF"/>
          <w:sz w:val="18"/>
          <w:szCs w:val="18"/>
          <w:lang w:val="fr-BE"/>
        </w:rPr>
        <w:t>O</w:t>
      </w:r>
      <w:r w:rsidR="004962A0" w:rsidRPr="00AB67EE">
        <w:rPr>
          <w:rFonts w:ascii="Verdana" w:hAnsi="Verdana" w:cs="Arial"/>
          <w:color w:val="0000FF"/>
          <w:sz w:val="18"/>
          <w:szCs w:val="18"/>
          <w:lang w:val="fr-BE"/>
        </w:rPr>
        <w:t>ptionnel</w:t>
      </w:r>
      <w:r w:rsidR="00373A96" w:rsidRPr="00844373">
        <w:rPr>
          <w:rFonts w:ascii="Verdana" w:hAnsi="Verdana" w:cs="Arial"/>
          <w:color w:val="0000FF"/>
          <w:sz w:val="18"/>
          <w:szCs w:val="18"/>
          <w:lang w:val="fr-BE"/>
        </w:rPr>
        <w:t> : p</w:t>
      </w:r>
      <w:r w:rsidR="004962A0"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our les nourrissons, l'utilisation de suppositoires </w:t>
      </w:r>
      <w:r w:rsidR="004045B2" w:rsidRPr="00AB67EE">
        <w:rPr>
          <w:rFonts w:ascii="Verdana" w:hAnsi="Verdana" w:cs="Arial"/>
          <w:color w:val="0000FF"/>
          <w:sz w:val="18"/>
          <w:szCs w:val="18"/>
          <w:lang w:val="fr-BE"/>
        </w:rPr>
        <w:t>peut être envisagée</w:t>
      </w:r>
      <w:r w:rsidR="004962A0"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 lorsque l'administration par voie orale n'est pas possible pour des raisons cliniques.</w:t>
      </w:r>
      <w:r w:rsidR="00523139" w:rsidRPr="00844373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r w:rsidR="004962A0" w:rsidRPr="00AB67EE">
        <w:rPr>
          <w:rFonts w:ascii="Verdana" w:hAnsi="Verdana" w:cs="Arial"/>
          <w:color w:val="0000FF"/>
          <w:sz w:val="18"/>
          <w:szCs w:val="18"/>
          <w:lang w:val="fr-BE"/>
        </w:rPr>
        <w:t>&gt;</w:t>
      </w:r>
    </w:p>
    <w:p w14:paraId="5B71D96C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color w:val="0000FF"/>
          <w:sz w:val="18"/>
          <w:szCs w:val="18"/>
          <w:lang w:val="fr-BE"/>
        </w:rPr>
      </w:pPr>
    </w:p>
    <w:p w14:paraId="074A90E5" w14:textId="00A3A30A" w:rsidR="002038C0" w:rsidRPr="00AB67EE" w:rsidRDefault="005D2BD9" w:rsidP="00AB67EE">
      <w:pPr>
        <w:pStyle w:val="Lijstalinea"/>
        <w:numPr>
          <w:ilvl w:val="0"/>
          <w:numId w:val="31"/>
        </w:numPr>
        <w:ind w:left="284" w:hanging="284"/>
        <w:contextualSpacing w:val="0"/>
        <w:rPr>
          <w:rFonts w:ascii="Verdana" w:hAnsi="Verdana" w:cs="Arial"/>
          <w:sz w:val="18"/>
          <w:szCs w:val="18"/>
          <w:lang w:val="fr-BE"/>
        </w:rPr>
      </w:pPr>
      <w:r w:rsidRPr="00844373">
        <w:rPr>
          <w:rFonts w:ascii="Verdana" w:hAnsi="Verdana" w:cs="Arial"/>
          <w:sz w:val="18"/>
          <w:szCs w:val="18"/>
          <w:lang w:val="fr-BE"/>
        </w:rPr>
        <w:t xml:space="preserve"> </w:t>
      </w:r>
      <w:r w:rsidR="002038C0" w:rsidRPr="00AB67EE">
        <w:rPr>
          <w:rFonts w:ascii="Verdana" w:hAnsi="Verdana"/>
          <w:sz w:val="18"/>
          <w:szCs w:val="18"/>
          <w:lang w:val="fr-BE"/>
        </w:rPr>
        <w:t>Adolescents et adultes (poids corporel &gt; 50 kg)</w:t>
      </w:r>
      <w:r w:rsidR="002038C0" w:rsidRPr="00AB67EE">
        <w:rPr>
          <w:rFonts w:ascii="Verdana" w:hAnsi="Verdana"/>
          <w:sz w:val="18"/>
          <w:szCs w:val="18"/>
          <w:vertAlign w:val="superscript"/>
          <w:lang w:val="fr-BE"/>
        </w:rPr>
        <w:t>[1,5]</w:t>
      </w:r>
    </w:p>
    <w:p w14:paraId="52A54801" w14:textId="18EF936A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La dose </w:t>
      </w:r>
      <w:r w:rsidR="00C47189" w:rsidRPr="00AB67EE">
        <w:rPr>
          <w:rFonts w:ascii="Verdana" w:hAnsi="Verdana" w:cs="Arial"/>
          <w:sz w:val="18"/>
          <w:szCs w:val="18"/>
          <w:lang w:val="fr-BE"/>
        </w:rPr>
        <w:t xml:space="preserve">habituelle 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est de 500 mg à 1 g par prise, à répéter si nécessaire respectivement toutes les 4 ou 6 heures, jusqu’à 3 g par jour. En cas de douleurs </w:t>
      </w:r>
      <w:r w:rsidR="00C47189" w:rsidRPr="00AB67EE">
        <w:rPr>
          <w:rFonts w:ascii="Verdana" w:hAnsi="Verdana" w:cs="Arial"/>
          <w:sz w:val="18"/>
          <w:szCs w:val="18"/>
          <w:lang w:val="fr-BE"/>
        </w:rPr>
        <w:t xml:space="preserve">plus intenses </w:t>
      </w:r>
      <w:r w:rsidRPr="00AB67EE">
        <w:rPr>
          <w:rFonts w:ascii="Verdana" w:hAnsi="Verdana" w:cs="Arial"/>
          <w:sz w:val="18"/>
          <w:szCs w:val="18"/>
          <w:lang w:val="fr-BE"/>
        </w:rPr>
        <w:t>ou de fièvre, la dose journalière peut</w:t>
      </w:r>
      <w:r w:rsidR="0016489E">
        <w:rPr>
          <w:rFonts w:ascii="Verdana" w:hAnsi="Verdana" w:cs="Arial"/>
          <w:sz w:val="18"/>
          <w:szCs w:val="18"/>
          <w:lang w:val="fr-BE"/>
        </w:rPr>
        <w:t xml:space="preserve"> être augmentée à 4 g par jour.</w:t>
      </w:r>
    </w:p>
    <w:p w14:paraId="29C82BA7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</w:p>
    <w:p w14:paraId="7F3F5E9C" w14:textId="52D5A6E9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L’intervalle </w:t>
      </w:r>
      <w:r w:rsidR="00673606" w:rsidRPr="00AB67EE">
        <w:rPr>
          <w:rFonts w:ascii="Verdana" w:hAnsi="Verdana" w:cs="Arial"/>
          <w:sz w:val="18"/>
          <w:szCs w:val="18"/>
          <w:lang w:val="fr-BE"/>
        </w:rPr>
        <w:t xml:space="preserve">entre deux </w:t>
      </w:r>
      <w:r w:rsidRPr="00AB67EE">
        <w:rPr>
          <w:rFonts w:ascii="Verdana" w:hAnsi="Verdana" w:cs="Arial"/>
          <w:sz w:val="18"/>
          <w:szCs w:val="18"/>
          <w:lang w:val="fr-BE"/>
        </w:rPr>
        <w:t>administration</w:t>
      </w:r>
      <w:r w:rsidR="00673606" w:rsidRPr="00AB67EE">
        <w:rPr>
          <w:rFonts w:ascii="Verdana" w:hAnsi="Verdana" w:cs="Arial"/>
          <w:sz w:val="18"/>
          <w:szCs w:val="18"/>
          <w:lang w:val="fr-BE"/>
        </w:rPr>
        <w:t>s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 doit être d’au moins 4 heures. Les doses maximales sont d’1 </w:t>
      </w:r>
      <w:r w:rsidR="0016489E">
        <w:rPr>
          <w:rFonts w:ascii="Verdana" w:hAnsi="Verdana" w:cs="Arial"/>
          <w:sz w:val="18"/>
          <w:szCs w:val="18"/>
          <w:lang w:val="fr-BE"/>
        </w:rPr>
        <w:t>g par prise et de 4 g par jour.</w:t>
      </w:r>
    </w:p>
    <w:p w14:paraId="3D1D88AC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</w:p>
    <w:p w14:paraId="31110E05" w14:textId="6971078B" w:rsidR="002038C0" w:rsidRPr="00AB67EE" w:rsidRDefault="002038C0" w:rsidP="00AB67EE">
      <w:pPr>
        <w:pStyle w:val="Lijstalinea"/>
        <w:numPr>
          <w:ilvl w:val="0"/>
          <w:numId w:val="31"/>
        </w:numPr>
        <w:tabs>
          <w:tab w:val="left" w:pos="284"/>
        </w:tabs>
        <w:ind w:left="0" w:firstLine="0"/>
        <w:rPr>
          <w:rFonts w:ascii="Verdana" w:hAnsi="Verdana" w:cs="Arial"/>
          <w:color w:val="0000FF"/>
          <w:sz w:val="18"/>
          <w:szCs w:val="18"/>
          <w:lang w:val="fr-BE"/>
        </w:rPr>
      </w:pPr>
      <w:r w:rsidRPr="00AB67EE">
        <w:rPr>
          <w:rFonts w:ascii="Verdana" w:hAnsi="Verdana"/>
          <w:sz w:val="18"/>
          <w:szCs w:val="18"/>
          <w:lang w:val="fr-BE"/>
        </w:rPr>
        <w:t xml:space="preserve">Pour les adultes </w:t>
      </w:r>
      <w:r w:rsidR="00C2431F" w:rsidRPr="00AB67EE">
        <w:rPr>
          <w:rFonts w:ascii="Verdana" w:hAnsi="Verdana"/>
          <w:sz w:val="18"/>
          <w:szCs w:val="18"/>
          <w:lang w:val="fr-BE"/>
        </w:rPr>
        <w:t>de</w:t>
      </w:r>
      <w:r w:rsidRPr="00AB67EE">
        <w:rPr>
          <w:rFonts w:ascii="Verdana" w:hAnsi="Verdana"/>
          <w:sz w:val="18"/>
          <w:szCs w:val="18"/>
          <w:lang w:val="fr-BE"/>
        </w:rPr>
        <w:t xml:space="preserve"> moins de 50 kg, la dose maximale journalière est de 60 mg/kg/jour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[3]</w:t>
      </w:r>
      <w:r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76539FFE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</w:p>
    <w:p w14:paraId="012DCCBD" w14:textId="7F2949B0" w:rsidR="002038C0" w:rsidRPr="00AB67EE" w:rsidRDefault="00C04801" w:rsidP="00AB67EE">
      <w:pPr>
        <w:pStyle w:val="Lijstalinea"/>
        <w:numPr>
          <w:ilvl w:val="0"/>
          <w:numId w:val="32"/>
        </w:numPr>
        <w:tabs>
          <w:tab w:val="left" w:pos="480"/>
        </w:tabs>
        <w:rPr>
          <w:rFonts w:ascii="Verdana" w:hAnsi="Verdana" w:cs="Arial"/>
          <w:sz w:val="18"/>
          <w:szCs w:val="18"/>
          <w:u w:val="single"/>
          <w:lang w:val="fr-BE"/>
        </w:rPr>
      </w:pPr>
      <w:r w:rsidRPr="00AB67EE">
        <w:rPr>
          <w:rFonts w:ascii="Verdana" w:hAnsi="Verdana"/>
          <w:sz w:val="18"/>
          <w:szCs w:val="18"/>
          <w:lang w:val="fr-BE"/>
        </w:rPr>
        <w:t xml:space="preserve">Diminution de la fonction </w:t>
      </w:r>
      <w:r w:rsidR="002038C0" w:rsidRPr="00AB67EE">
        <w:rPr>
          <w:rFonts w:ascii="Verdana" w:hAnsi="Verdana"/>
          <w:sz w:val="18"/>
          <w:szCs w:val="18"/>
          <w:lang w:val="fr-BE"/>
        </w:rPr>
        <w:t>hépatique, alcoolisme chronique</w:t>
      </w:r>
      <w:r w:rsidR="002038C0"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[2,3]</w:t>
      </w:r>
    </w:p>
    <w:p w14:paraId="55140CB5" w14:textId="6C9D3832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Chez les patients présentant une </w:t>
      </w:r>
      <w:r w:rsidR="00C04801" w:rsidRPr="00AB67EE">
        <w:rPr>
          <w:rFonts w:ascii="Verdana" w:hAnsi="Verdana" w:cs="Arial"/>
          <w:sz w:val="18"/>
          <w:szCs w:val="18"/>
          <w:lang w:val="fr-BE"/>
        </w:rPr>
        <w:t xml:space="preserve">diminution de la 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fonction hépatique, la dose doit être réduite ou l’intervalle </w:t>
      </w:r>
      <w:r w:rsidR="00830DFC" w:rsidRPr="00AB67EE">
        <w:rPr>
          <w:rFonts w:ascii="Verdana" w:hAnsi="Verdana" w:cs="Arial"/>
          <w:sz w:val="18"/>
          <w:szCs w:val="18"/>
          <w:lang w:val="fr-BE"/>
        </w:rPr>
        <w:t xml:space="preserve">d’administration </w:t>
      </w:r>
      <w:r w:rsidR="0016489E">
        <w:rPr>
          <w:rFonts w:ascii="Verdana" w:hAnsi="Verdana" w:cs="Arial"/>
          <w:sz w:val="18"/>
          <w:szCs w:val="18"/>
          <w:lang w:val="fr-BE"/>
        </w:rPr>
        <w:t>prolongé.</w:t>
      </w:r>
    </w:p>
    <w:p w14:paraId="7D384F5F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</w:p>
    <w:p w14:paraId="7449F016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La dose quotidienne ne peut être supérieure à 2 g dans les situations suivantes :</w:t>
      </w:r>
    </w:p>
    <w:p w14:paraId="538C7081" w14:textId="71ACB263" w:rsidR="002038C0" w:rsidRPr="00AB67EE" w:rsidRDefault="00D26D2C" w:rsidP="00AB67EE">
      <w:pPr>
        <w:numPr>
          <w:ilvl w:val="0"/>
          <w:numId w:val="8"/>
        </w:num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844373">
        <w:rPr>
          <w:rFonts w:ascii="Verdana" w:hAnsi="Verdana" w:cs="Arial"/>
          <w:sz w:val="18"/>
          <w:szCs w:val="18"/>
          <w:lang w:val="fr-BE"/>
        </w:rPr>
        <w:t>i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nsuffisance hépatique</w:t>
      </w:r>
      <w:r w:rsidRPr="00844373">
        <w:rPr>
          <w:rFonts w:ascii="Verdana" w:hAnsi="Verdana" w:cs="Arial"/>
          <w:sz w:val="18"/>
          <w:szCs w:val="18"/>
          <w:lang w:val="fr-BE"/>
        </w:rPr>
        <w:t>,</w:t>
      </w:r>
    </w:p>
    <w:p w14:paraId="4DC4F016" w14:textId="087A8129" w:rsidR="002038C0" w:rsidRPr="00AB67EE" w:rsidRDefault="00D26D2C" w:rsidP="00AB67EE">
      <w:pPr>
        <w:numPr>
          <w:ilvl w:val="0"/>
          <w:numId w:val="8"/>
        </w:num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844373">
        <w:rPr>
          <w:rFonts w:ascii="Verdana" w:hAnsi="Verdana" w:cs="Arial"/>
          <w:sz w:val="18"/>
          <w:szCs w:val="18"/>
          <w:lang w:val="fr-BE"/>
        </w:rPr>
        <w:t>s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yndrome de Gilbert (ictère familial non hémolytique)</w:t>
      </w:r>
      <w:r w:rsidRPr="00844373">
        <w:rPr>
          <w:rFonts w:ascii="Verdana" w:hAnsi="Verdana" w:cs="Arial"/>
          <w:sz w:val="18"/>
          <w:szCs w:val="18"/>
          <w:lang w:val="fr-BE"/>
        </w:rPr>
        <w:t>,</w:t>
      </w:r>
    </w:p>
    <w:p w14:paraId="173B5310" w14:textId="5EB9B5AB" w:rsidR="002038C0" w:rsidRPr="00AB67EE" w:rsidRDefault="00D26D2C" w:rsidP="00AB67EE">
      <w:pPr>
        <w:numPr>
          <w:ilvl w:val="0"/>
          <w:numId w:val="8"/>
        </w:num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844373">
        <w:rPr>
          <w:rFonts w:ascii="Verdana" w:hAnsi="Verdana" w:cs="Arial"/>
          <w:sz w:val="18"/>
          <w:szCs w:val="18"/>
          <w:lang w:val="fr-BE"/>
        </w:rPr>
        <w:t>a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lcoolisme chronique</w:t>
      </w:r>
      <w:r w:rsidRPr="00844373">
        <w:rPr>
          <w:rFonts w:ascii="Verdana" w:hAnsi="Verdana" w:cs="Arial"/>
          <w:sz w:val="18"/>
          <w:szCs w:val="18"/>
          <w:lang w:val="fr-BE"/>
        </w:rPr>
        <w:t>.</w:t>
      </w:r>
    </w:p>
    <w:p w14:paraId="2486E429" w14:textId="6677AD9C" w:rsidR="002038C0" w:rsidRPr="00AB67EE" w:rsidRDefault="002038C0" w:rsidP="00AB67EE">
      <w:pPr>
        <w:pStyle w:val="Lijstalinea"/>
        <w:numPr>
          <w:ilvl w:val="0"/>
          <w:numId w:val="32"/>
        </w:num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lastRenderedPageBreak/>
        <w:t>Insuffisance rénale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[2]</w:t>
      </w:r>
    </w:p>
    <w:p w14:paraId="65EBB942" w14:textId="3E86215C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En cas d’insuffisance rénale modérée et aiguë, la dose doit être rédui</w:t>
      </w:r>
      <w:r w:rsidR="00C04E23">
        <w:rPr>
          <w:rFonts w:ascii="Verdana" w:hAnsi="Verdana" w:cs="Arial"/>
          <w:sz w:val="18"/>
          <w:szCs w:val="18"/>
          <w:lang w:val="fr-BE"/>
        </w:rPr>
        <w:t>te.</w:t>
      </w:r>
    </w:p>
    <w:p w14:paraId="1F2EF3F1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400"/>
      </w:tblGrid>
      <w:tr w:rsidR="002038C0" w:rsidRPr="00844373" w14:paraId="3F86F4B9" w14:textId="77777777" w:rsidTr="00C04E23">
        <w:trPr>
          <w:trHeight w:val="183"/>
        </w:trPr>
        <w:tc>
          <w:tcPr>
            <w:tcW w:w="3399" w:type="dxa"/>
          </w:tcPr>
          <w:p w14:paraId="67512BA8" w14:textId="0DC962A7" w:rsidR="002038C0" w:rsidRPr="00AB67EE" w:rsidRDefault="002038C0" w:rsidP="00C04E23">
            <w:pPr>
              <w:jc w:val="center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 w:eastAsia="en-US"/>
              </w:rPr>
              <w:t>Filtration glomérulaire</w:t>
            </w:r>
          </w:p>
        </w:tc>
        <w:tc>
          <w:tcPr>
            <w:tcW w:w="3400" w:type="dxa"/>
          </w:tcPr>
          <w:p w14:paraId="3004B455" w14:textId="77777777" w:rsidR="002038C0" w:rsidRPr="00AB67EE" w:rsidRDefault="002038C0" w:rsidP="00C04E23">
            <w:pPr>
              <w:jc w:val="center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 w:eastAsia="en-US"/>
              </w:rPr>
              <w:t>Dose</w:t>
            </w:r>
          </w:p>
        </w:tc>
      </w:tr>
      <w:tr w:rsidR="002038C0" w:rsidRPr="00844373" w14:paraId="457ED0F9" w14:textId="77777777" w:rsidTr="00C04E23">
        <w:trPr>
          <w:trHeight w:val="230"/>
        </w:trPr>
        <w:tc>
          <w:tcPr>
            <w:tcW w:w="3399" w:type="dxa"/>
          </w:tcPr>
          <w:p w14:paraId="376740DD" w14:textId="3ABA959F" w:rsidR="002038C0" w:rsidRPr="00AB67EE" w:rsidRDefault="002038C0" w:rsidP="00C04E23">
            <w:pPr>
              <w:jc w:val="right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 w:eastAsia="en-US"/>
              </w:rPr>
              <w:t xml:space="preserve">10 – 50 </w:t>
            </w:r>
            <w:proofErr w:type="spellStart"/>
            <w:r w:rsidRPr="00AB67EE">
              <w:rPr>
                <w:rFonts w:ascii="Verdana" w:hAnsi="Verdana" w:cs="Tahoma"/>
                <w:sz w:val="18"/>
                <w:szCs w:val="18"/>
                <w:lang w:val="fr-BE" w:eastAsia="en-US"/>
              </w:rPr>
              <w:t>mL</w:t>
            </w:r>
            <w:proofErr w:type="spellEnd"/>
            <w:r w:rsidRPr="00AB67EE">
              <w:rPr>
                <w:rFonts w:ascii="Verdana" w:hAnsi="Verdana" w:cs="Tahoma"/>
                <w:sz w:val="18"/>
                <w:szCs w:val="18"/>
                <w:lang w:val="fr-BE" w:eastAsia="en-US"/>
              </w:rPr>
              <w:t>/min</w:t>
            </w:r>
          </w:p>
        </w:tc>
        <w:tc>
          <w:tcPr>
            <w:tcW w:w="3400" w:type="dxa"/>
          </w:tcPr>
          <w:p w14:paraId="0F302818" w14:textId="77777777" w:rsidR="002038C0" w:rsidRPr="00AB67EE" w:rsidRDefault="002038C0" w:rsidP="00C04E23">
            <w:pPr>
              <w:jc w:val="right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 w:eastAsia="en-US"/>
              </w:rPr>
              <w:t>500 mg toutes les 6 heures</w:t>
            </w:r>
          </w:p>
        </w:tc>
      </w:tr>
      <w:tr w:rsidR="002038C0" w:rsidRPr="00844373" w14:paraId="76D2F7DB" w14:textId="77777777" w:rsidTr="00C04E23">
        <w:tc>
          <w:tcPr>
            <w:tcW w:w="3399" w:type="dxa"/>
          </w:tcPr>
          <w:p w14:paraId="2D23B966" w14:textId="028EC814" w:rsidR="002038C0" w:rsidRPr="00AB67EE" w:rsidRDefault="002038C0" w:rsidP="00C04E23">
            <w:pPr>
              <w:jc w:val="right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 w:eastAsia="en-US"/>
              </w:rPr>
              <w:t xml:space="preserve">&lt; 10 </w:t>
            </w:r>
            <w:proofErr w:type="spellStart"/>
            <w:r w:rsidRPr="00AB67EE">
              <w:rPr>
                <w:rFonts w:ascii="Verdana" w:hAnsi="Verdana" w:cs="Tahoma"/>
                <w:sz w:val="18"/>
                <w:szCs w:val="18"/>
                <w:lang w:val="fr-BE" w:eastAsia="en-US"/>
              </w:rPr>
              <w:t>mL</w:t>
            </w:r>
            <w:proofErr w:type="spellEnd"/>
            <w:r w:rsidRPr="00AB67EE">
              <w:rPr>
                <w:rFonts w:ascii="Verdana" w:hAnsi="Verdana" w:cs="Tahoma"/>
                <w:sz w:val="18"/>
                <w:szCs w:val="18"/>
                <w:lang w:val="fr-BE" w:eastAsia="en-US"/>
              </w:rPr>
              <w:t>/min</w:t>
            </w:r>
          </w:p>
        </w:tc>
        <w:tc>
          <w:tcPr>
            <w:tcW w:w="3400" w:type="dxa"/>
          </w:tcPr>
          <w:p w14:paraId="4E8C48D5" w14:textId="77777777" w:rsidR="002038C0" w:rsidRPr="00AB67EE" w:rsidRDefault="002038C0" w:rsidP="00C04E23">
            <w:pPr>
              <w:jc w:val="right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 w:eastAsia="en-US"/>
              </w:rPr>
              <w:t>500 mg toutes les 8 heures</w:t>
            </w:r>
          </w:p>
        </w:tc>
      </w:tr>
    </w:tbl>
    <w:p w14:paraId="167B7CA7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</w:p>
    <w:p w14:paraId="1A69E252" w14:textId="3685BF0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color w:val="0000FF"/>
          <w:sz w:val="18"/>
          <w:szCs w:val="18"/>
          <w:lang w:val="fr-BE"/>
        </w:rPr>
      </w:pP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&lt;</w:t>
      </w:r>
      <w:r w:rsidR="00B7334D" w:rsidRPr="00844373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Si le dosage/la forme pharmaceutique ne convient pas pour l’administration d’une dose réduite, cela doit être mentionné :</w:t>
      </w:r>
    </w:p>
    <w:p w14:paraId="6B1C1A7C" w14:textId="0BCDF7BC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color w:val="0000FF"/>
          <w:sz w:val="18"/>
          <w:szCs w:val="18"/>
          <w:lang w:val="fr-BE"/>
        </w:rPr>
      </w:pP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X ne convient pas pour les patients présentant une insuffisance hépatique et rénale, si une diminution de la dose est nécessaire. D’autres formes/dosages pharmaceutiques qui conviennent mieux doivent être utilisés. &gt;</w:t>
      </w:r>
    </w:p>
    <w:p w14:paraId="3030F7D1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</w:p>
    <w:p w14:paraId="619FCEA3" w14:textId="77777777" w:rsidR="002038C0" w:rsidRPr="00AB67EE" w:rsidRDefault="002038C0" w:rsidP="00AB67EE">
      <w:pPr>
        <w:pStyle w:val="Lijstalinea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Sujets âgés</w:t>
      </w:r>
    </w:p>
    <w:p w14:paraId="4AC72884" w14:textId="2E9D76AC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Sur la base des données pharmacocinétiques, aucune adaptation de la dose n’est nécessaire. </w:t>
      </w:r>
      <w:r w:rsidR="00373A96" w:rsidRPr="00844373">
        <w:rPr>
          <w:rFonts w:ascii="Verdana" w:hAnsi="Verdana" w:cs="Arial"/>
          <w:sz w:val="18"/>
          <w:szCs w:val="18"/>
          <w:lang w:val="fr-BE"/>
        </w:rPr>
        <w:t>Tenez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 compte du fait que l’insuffisance rénale et/ou hépatique survient plus souvent chez les sujets âgés.</w:t>
      </w:r>
    </w:p>
    <w:p w14:paraId="556A3FF8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</w:p>
    <w:p w14:paraId="6824FC23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b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4.3 Contre-indications</w:t>
      </w:r>
    </w:p>
    <w:p w14:paraId="6DE9ABE5" w14:textId="2C54A79B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Hypersensibilité à la substance active ou à l’un des </w:t>
      </w:r>
      <w:r w:rsidR="00266DA5" w:rsidRPr="00AB67EE">
        <w:rPr>
          <w:rFonts w:ascii="Verdana" w:hAnsi="Verdana" w:cs="Arial"/>
          <w:sz w:val="18"/>
          <w:szCs w:val="18"/>
          <w:lang w:val="fr-BE"/>
        </w:rPr>
        <w:t>excipients</w:t>
      </w:r>
      <w:r w:rsidR="00A27496" w:rsidRPr="00844373">
        <w:rPr>
          <w:rFonts w:ascii="Verdana" w:hAnsi="Verdana" w:cs="Arial"/>
          <w:sz w:val="18"/>
          <w:szCs w:val="18"/>
          <w:lang w:val="fr-BE"/>
        </w:rPr>
        <w:t>.</w:t>
      </w:r>
    </w:p>
    <w:p w14:paraId="38746096" w14:textId="77777777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  <w:bookmarkStart w:id="2" w:name="OLE_LINK2"/>
    </w:p>
    <w:p w14:paraId="63AA1FA6" w14:textId="5E464682" w:rsidR="002038C0" w:rsidRPr="00AB67EE" w:rsidRDefault="002038C0" w:rsidP="00AB67EE">
      <w:pPr>
        <w:tabs>
          <w:tab w:val="left" w:pos="480"/>
        </w:tabs>
        <w:rPr>
          <w:rFonts w:ascii="Verdana" w:hAnsi="Verdana" w:cs="Arial"/>
          <w:color w:val="0000FF"/>
          <w:sz w:val="18"/>
          <w:szCs w:val="18"/>
          <w:lang w:val="fr-BE"/>
        </w:rPr>
      </w:pP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&lt;</w:t>
      </w:r>
      <w:r w:rsidRPr="00AB67EE">
        <w:rPr>
          <w:rFonts w:ascii="Verdana" w:hAnsi="Verdana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Une insuffisance hépatique aiguë et une anémie hémolytique aiguë/un déficit en G6PD ne sont pas des contre-indications</w:t>
      </w:r>
      <w:r w:rsidR="00CF05CC" w:rsidRPr="00844373">
        <w:rPr>
          <w:rFonts w:ascii="Verdana" w:hAnsi="Verdana" w:cs="Arial"/>
          <w:color w:val="0000FF"/>
          <w:sz w:val="18"/>
          <w:szCs w:val="18"/>
          <w:lang w:val="fr-BE"/>
        </w:rPr>
        <w:t>. L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e </w:t>
      </w:r>
      <w:proofErr w:type="spellStart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PhVWP</w:t>
      </w:r>
      <w:proofErr w:type="spellEnd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r w:rsidR="00A413AA"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avait, en son temps, 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conclu qu’il n'y a pas suffisamment de preuve pour soutenir une contre-indication en cas d’insuffisance hépatique aiguë, d’anémie hémolytique aiguë/de déficit en G6PD en cas d’utilisation de doses thérapeutiques, et il </w:t>
      </w:r>
      <w:r w:rsidR="00647CBE"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avait 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également </w:t>
      </w:r>
      <w:r w:rsidR="00647CBE"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tenu 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compte de la sécurité d</w:t>
      </w:r>
      <w:r w:rsidR="0006115D"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es 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alternatives au paracétamol au sein de ces populations. Le </w:t>
      </w:r>
      <w:proofErr w:type="spellStart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PhVWP</w:t>
      </w:r>
      <w:proofErr w:type="spellEnd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r w:rsidR="00760DC6"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avait formulé 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des mises en garde pour les rubriques 4.2 et 4.4 du RCP : un dosage adapté et des mises en garde claires sur les risques potentiels chez ces patients sont plus appropriés et reflètent les preuves existantes</w:t>
      </w:r>
      <w:r w:rsidRPr="00AB67EE">
        <w:rPr>
          <w:rFonts w:ascii="Verdana" w:hAnsi="Verdana" w:cs="Arial"/>
          <w:color w:val="0000FF"/>
          <w:sz w:val="18"/>
          <w:szCs w:val="18"/>
          <w:vertAlign w:val="superscript"/>
          <w:lang w:val="fr-BE"/>
        </w:rPr>
        <w:t>[2]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.</w:t>
      </w:r>
      <w:r w:rsidR="00E673E6" w:rsidRPr="00844373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&gt;</w:t>
      </w:r>
    </w:p>
    <w:bookmarkEnd w:id="2"/>
    <w:p w14:paraId="108D163F" w14:textId="77777777" w:rsidR="002038C0" w:rsidRPr="00916FAE" w:rsidRDefault="002038C0" w:rsidP="00AB67EE">
      <w:pPr>
        <w:tabs>
          <w:tab w:val="left" w:pos="480"/>
        </w:tabs>
        <w:rPr>
          <w:rFonts w:ascii="Verdana" w:hAnsi="Verdana" w:cs="Arial"/>
          <w:sz w:val="18"/>
          <w:szCs w:val="18"/>
          <w:lang w:val="fr-BE"/>
        </w:rPr>
      </w:pPr>
    </w:p>
    <w:p w14:paraId="0F9B3ACB" w14:textId="77777777" w:rsidR="002038C0" w:rsidRPr="00AB67EE" w:rsidRDefault="002038C0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b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4.4 Mises en garde spéciales et précautions d’emploi</w:t>
      </w:r>
    </w:p>
    <w:p w14:paraId="512B314C" w14:textId="24EA5312" w:rsidR="002038C0" w:rsidRPr="00AB67EE" w:rsidRDefault="002038C0" w:rsidP="00AB67EE">
      <w:pPr>
        <w:numPr>
          <w:ilvl w:val="0"/>
          <w:numId w:val="4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Une utilisation prolongée ou fréquente est déconseillée. Une utilisation prolongée, sauf sous surveillance médicale, peut nuire à la santé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[2]</w:t>
      </w:r>
      <w:r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010F0941" w14:textId="77777777" w:rsidR="002038C0" w:rsidRPr="00AB67EE" w:rsidRDefault="002038C0" w:rsidP="00AB67EE">
      <w:pPr>
        <w:numPr>
          <w:ilvl w:val="0"/>
          <w:numId w:val="4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La dose maximale ne peut en aucun cas être dépassée. Afin d’éviter le risque d’un surdosage, aucun autre produit contenant du paracétamol ne peut être pris simultanément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[2]</w:t>
      </w:r>
      <w:r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38E2B185" w14:textId="77777777" w:rsidR="002038C0" w:rsidRPr="00AB67EE" w:rsidRDefault="002038C0" w:rsidP="00AB67EE">
      <w:pPr>
        <w:numPr>
          <w:ilvl w:val="0"/>
          <w:numId w:val="4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Prendre en une seule fois une dose équivalant à plusieurs fois la dose journalière peut endommager gravement le foie ; il n’y a pas toujours de perte de conscience. Il est cependant nécessaire d’appeler immédiatement un médecin en raison du risque de dommage hépatique irréversible (voir rubrique 4.9)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[2]</w:t>
      </w:r>
      <w:r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6BC109EA" w14:textId="11668A6E" w:rsidR="002038C0" w:rsidRPr="00AB67EE" w:rsidRDefault="002038C0" w:rsidP="00AB67EE">
      <w:pPr>
        <w:numPr>
          <w:ilvl w:val="0"/>
          <w:numId w:val="4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La prudence est de mise en cas de présence des facteurs de risque suivants, qui </w:t>
      </w:r>
      <w:r w:rsidR="00C415ED" w:rsidRPr="00AB67EE">
        <w:rPr>
          <w:rFonts w:ascii="Verdana" w:hAnsi="Verdana" w:cs="Arial"/>
          <w:sz w:val="18"/>
          <w:szCs w:val="18"/>
          <w:lang w:val="fr-BE"/>
        </w:rPr>
        <w:t>abaissent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 éventuellement le seu</w:t>
      </w:r>
      <w:r w:rsidR="00DF1DEA" w:rsidRPr="00AB67EE">
        <w:rPr>
          <w:rFonts w:ascii="Verdana" w:hAnsi="Verdana" w:cs="Arial"/>
          <w:sz w:val="18"/>
          <w:szCs w:val="18"/>
          <w:lang w:val="fr-BE"/>
        </w:rPr>
        <w:t>i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l de toxicité hépatique : insuffisance hépatique (dont le syndrome de Gilbert), hépatite aiguë, insuffisance rénale, alcoolisme chronique et adultes </w:t>
      </w:r>
      <w:r w:rsidR="00081FDF" w:rsidRPr="00844373">
        <w:rPr>
          <w:rFonts w:ascii="Verdana" w:hAnsi="Verdana" w:cs="Arial"/>
          <w:sz w:val="18"/>
          <w:szCs w:val="18"/>
          <w:lang w:val="fr-BE"/>
        </w:rPr>
        <w:t xml:space="preserve">de moins de 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50 kg. </w:t>
      </w:r>
      <w:r w:rsidR="004E40F2" w:rsidRPr="00AB67EE">
        <w:rPr>
          <w:rFonts w:ascii="Verdana" w:hAnsi="Verdana" w:cs="Arial"/>
          <w:sz w:val="18"/>
          <w:szCs w:val="18"/>
          <w:lang w:val="fr-BE"/>
        </w:rPr>
        <w:t xml:space="preserve">La posologie </w:t>
      </w:r>
      <w:r w:rsidRPr="00AB67EE">
        <w:rPr>
          <w:rFonts w:ascii="Verdana" w:hAnsi="Verdana" w:cs="Arial"/>
          <w:sz w:val="18"/>
          <w:szCs w:val="18"/>
          <w:lang w:val="fr-BE"/>
        </w:rPr>
        <w:t>doit dans ces cas être adapté</w:t>
      </w:r>
      <w:r w:rsidR="004E40F2" w:rsidRPr="00AB67EE">
        <w:rPr>
          <w:rFonts w:ascii="Verdana" w:hAnsi="Verdana" w:cs="Arial"/>
          <w:sz w:val="18"/>
          <w:szCs w:val="18"/>
          <w:lang w:val="fr-BE"/>
        </w:rPr>
        <w:t>e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 (voir rubrique 4.2)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[2,3]</w:t>
      </w:r>
      <w:r w:rsidR="009B225C">
        <w:rPr>
          <w:rFonts w:ascii="Verdana" w:hAnsi="Verdana" w:cs="Arial"/>
          <w:sz w:val="18"/>
          <w:szCs w:val="18"/>
          <w:lang w:val="fr-BE"/>
        </w:rPr>
        <w:t>.</w:t>
      </w:r>
    </w:p>
    <w:p w14:paraId="67A65010" w14:textId="25D95F27" w:rsidR="002038C0" w:rsidRPr="00AB67EE" w:rsidRDefault="002038C0" w:rsidP="00AB67EE">
      <w:pPr>
        <w:numPr>
          <w:ilvl w:val="0"/>
          <w:numId w:val="4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Un traitement concomitant avec des médicaments qui influencent la fonction</w:t>
      </w:r>
      <w:r w:rsidR="009416C0" w:rsidRPr="00AB67EE">
        <w:rPr>
          <w:rFonts w:ascii="Verdana" w:hAnsi="Verdana" w:cs="Arial"/>
          <w:sz w:val="18"/>
          <w:szCs w:val="18"/>
          <w:lang w:val="fr-BE"/>
        </w:rPr>
        <w:t xml:space="preserve"> hépatique</w:t>
      </w:r>
      <w:r w:rsidRPr="00AB67EE">
        <w:rPr>
          <w:rFonts w:ascii="Verdana" w:hAnsi="Verdana" w:cs="Arial"/>
          <w:sz w:val="18"/>
          <w:szCs w:val="18"/>
          <w:lang w:val="fr-BE"/>
        </w:rPr>
        <w:t>, la déshydratation et la malnutrition chronique (faibles réserves de glutathion hépatique) sont également des facteurs de risque d’apparition d’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hépatotoxicité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et qui peuvent éventuellement abaisser le seuil de toxicité hépatique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[2,3]</w:t>
      </w:r>
      <w:r w:rsidRPr="00AB67EE">
        <w:rPr>
          <w:rFonts w:ascii="Verdana" w:hAnsi="Verdana" w:cs="Arial"/>
          <w:sz w:val="18"/>
          <w:szCs w:val="18"/>
          <w:lang w:val="fr-BE"/>
        </w:rPr>
        <w:t>. La dose journalière maximale ne peut certainement pas être dépassée chez ces patients.</w:t>
      </w:r>
    </w:p>
    <w:p w14:paraId="689D617F" w14:textId="49E79EEA" w:rsidR="00BD02A0" w:rsidRPr="00AB67EE" w:rsidRDefault="00BD02A0" w:rsidP="00AB67EE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Times-Roman"/>
          <w:sz w:val="18"/>
          <w:szCs w:val="18"/>
          <w:lang w:val="fr-BE" w:eastAsia="fr-FR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La prudence est conseillée lors de l’administration de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flucloxacilline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et de paracétamol de façon concomitante en raison du risque accru d’acidose métabolique à trou anionique élevé (AMTAE). Les patients à risque élevé d’AMTAE sont notamment ceux atteints d’insuffisance rénale sévère, de sepsis ou de malnutrition, surtout en cas d’utilisation des doses quotidiennes maximales de paracétamol. Après la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co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-administration de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flucloxacilline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et de paracétamol, une surveillance étroite des patients est recommandée afin de détecter l’apparition de troubles de l’équilibre acido-basique, à savoir l’AMTAE. Celle-ci comprend la recherche d’acide L-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pyroglutamique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dans les urines. Si le traitement par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flucloxacilline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est poursuivi après l’arrêt du paracétamol, il est conseillé de s’assurer de l’absence de signe d’AMTAE, car il est possible que la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flucloxacilline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maintienne le tableau clinique de l’AMTAE </w:t>
      </w:r>
      <w:r w:rsidRPr="00AB67EE">
        <w:rPr>
          <w:rFonts w:ascii="Verdana" w:hAnsi="Verdana" w:cs="Times-Roman"/>
          <w:sz w:val="18"/>
          <w:szCs w:val="18"/>
          <w:lang w:val="fr-BE" w:eastAsia="fr-FR"/>
        </w:rPr>
        <w:t>(voir la rubrique 4.5).</w:t>
      </w:r>
      <w:r w:rsidR="0026103E" w:rsidRPr="00AB67EE">
        <w:rPr>
          <w:rFonts w:ascii="Verdana" w:hAnsi="Verdana" w:cs="Times-Roman"/>
          <w:sz w:val="18"/>
          <w:szCs w:val="18"/>
          <w:vertAlign w:val="superscript"/>
          <w:lang w:val="fr-BE" w:eastAsia="fr-FR"/>
        </w:rPr>
        <w:t>[11]</w:t>
      </w:r>
    </w:p>
    <w:p w14:paraId="725A71F7" w14:textId="1F240FB2" w:rsidR="002038C0" w:rsidRPr="00AB67EE" w:rsidRDefault="002038C0" w:rsidP="00AB67EE">
      <w:pPr>
        <w:numPr>
          <w:ilvl w:val="0"/>
          <w:numId w:val="4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Chez les enfants et les adolescents traités avec 60 mg/kg de paracétamol par jour, l’association avec un autre antipyrétique n’est pas justifiée, sauf en cas d’inefficacité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[2]</w:t>
      </w:r>
      <w:r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12D3101D" w14:textId="457ADFCD" w:rsidR="002038C0" w:rsidRPr="00AB67EE" w:rsidRDefault="002038C0" w:rsidP="00AB67EE">
      <w:pPr>
        <w:numPr>
          <w:ilvl w:val="0"/>
          <w:numId w:val="4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La prudence est de mise en cas d’administration de paracétamol à des patients présentant une carence en glucose-6-phosphate déshydrogénase et une anémie hémolytique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[2]</w:t>
      </w:r>
      <w:r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7E996B11" w14:textId="15E8A7E6" w:rsidR="00DC2AA0" w:rsidRPr="00844373" w:rsidRDefault="002038C0" w:rsidP="00AB67EE">
      <w:pPr>
        <w:numPr>
          <w:ilvl w:val="0"/>
          <w:numId w:val="4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color w:val="0000FF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En cas de fièvre aiguë, ou de signe d’infection secondaire ou de persistance des plaintes, </w:t>
      </w:r>
      <w:r w:rsidR="00E36D32" w:rsidRPr="00AB67EE">
        <w:rPr>
          <w:rFonts w:ascii="Verdana" w:hAnsi="Verdana" w:cs="Arial"/>
          <w:sz w:val="18"/>
          <w:szCs w:val="18"/>
          <w:lang w:val="fr-BE"/>
        </w:rPr>
        <w:t xml:space="preserve">il y a lieu de </w:t>
      </w:r>
      <w:r w:rsidR="00E36D32" w:rsidRPr="00AB67EE">
        <w:rPr>
          <w:rFonts w:ascii="Verdana" w:hAnsi="Verdana" w:cs="Times-Roman"/>
          <w:sz w:val="18"/>
          <w:szCs w:val="18"/>
          <w:lang w:val="fr-BE" w:eastAsia="fr-FR"/>
        </w:rPr>
        <w:t xml:space="preserve">consulter </w:t>
      </w:r>
      <w:r w:rsidRPr="00AB67EE">
        <w:rPr>
          <w:rFonts w:ascii="Verdana" w:hAnsi="Verdana" w:cs="Times-Roman"/>
          <w:sz w:val="18"/>
          <w:szCs w:val="18"/>
          <w:lang w:val="fr-BE" w:eastAsia="fr-FR"/>
        </w:rPr>
        <w:t>un médecin</w:t>
      </w:r>
      <w:r w:rsidR="00923214" w:rsidRPr="00844373">
        <w:rPr>
          <w:rFonts w:ascii="Verdana" w:hAnsi="Verdana" w:cs="Times-Roman"/>
          <w:sz w:val="18"/>
          <w:szCs w:val="18"/>
          <w:lang w:val="fr-BE" w:eastAsia="fr-FR"/>
        </w:rPr>
        <w:t>.</w:t>
      </w:r>
      <w:r w:rsidRPr="00AB67EE">
        <w:rPr>
          <w:rFonts w:ascii="Verdana" w:hAnsi="Verdana" w:cs="Times-Roman"/>
          <w:sz w:val="18"/>
          <w:szCs w:val="18"/>
          <w:vertAlign w:val="superscript"/>
          <w:lang w:val="fr-BE" w:eastAsia="fr-FR"/>
        </w:rPr>
        <w:t>[2]</w:t>
      </w:r>
    </w:p>
    <w:p w14:paraId="5EAD5F3D" w14:textId="77777777" w:rsidR="00DC2AA0" w:rsidRPr="008C7774" w:rsidRDefault="00DC2AA0" w:rsidP="00AB67EE">
      <w:pPr>
        <w:autoSpaceDE w:val="0"/>
        <w:autoSpaceDN w:val="0"/>
        <w:adjustRightInd w:val="0"/>
        <w:rPr>
          <w:rFonts w:ascii="Verdana" w:hAnsi="Verdana" w:cs="Arial"/>
          <w:color w:val="0000FF"/>
          <w:sz w:val="18"/>
          <w:szCs w:val="18"/>
          <w:lang w:val="fr-BE"/>
        </w:rPr>
      </w:pPr>
    </w:p>
    <w:p w14:paraId="1EEC09C3" w14:textId="197DCFAA" w:rsidR="002038C0" w:rsidRPr="00AB67EE" w:rsidRDefault="002038C0" w:rsidP="00AB67EE">
      <w:pPr>
        <w:autoSpaceDE w:val="0"/>
        <w:autoSpaceDN w:val="0"/>
        <w:adjustRightInd w:val="0"/>
        <w:rPr>
          <w:rFonts w:ascii="Verdana" w:hAnsi="Verdana" w:cs="Arial"/>
          <w:color w:val="0000FF"/>
          <w:sz w:val="18"/>
          <w:szCs w:val="18"/>
          <w:lang w:val="fr-BE"/>
        </w:rPr>
      </w:pP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&lt; La guideline « Excipients in the label and package </w:t>
      </w:r>
      <w:proofErr w:type="spellStart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leaflet</w:t>
      </w:r>
      <w:proofErr w:type="spellEnd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 of </w:t>
      </w:r>
      <w:proofErr w:type="spellStart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medicinal</w:t>
      </w:r>
      <w:proofErr w:type="spellEnd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products</w:t>
      </w:r>
      <w:proofErr w:type="spellEnd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 for </w:t>
      </w:r>
      <w:proofErr w:type="spellStart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human</w:t>
      </w:r>
      <w:proofErr w:type="spellEnd"/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 xml:space="preserve"> use » doit être appliquée.</w:t>
      </w:r>
      <w:r w:rsidR="009B225C">
        <w:rPr>
          <w:rFonts w:ascii="Verdana" w:hAnsi="Verdana" w:cs="Arial"/>
          <w:color w:val="0000FF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Arial"/>
          <w:color w:val="0000FF"/>
          <w:sz w:val="18"/>
          <w:szCs w:val="18"/>
          <w:lang w:val="fr-BE"/>
        </w:rPr>
        <w:t>&gt;</w:t>
      </w:r>
    </w:p>
    <w:p w14:paraId="2B86620A" w14:textId="00E5137A" w:rsidR="002038C0" w:rsidRPr="00AB67EE" w:rsidRDefault="002038C0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lastRenderedPageBreak/>
        <w:t>4.5 Interactions avec d’autres médicaments et autres formes d’interaction</w:t>
      </w:r>
    </w:p>
    <w:p w14:paraId="5D6BDA4B" w14:textId="0731DEE7" w:rsidR="002038C0" w:rsidRPr="00AB67EE" w:rsidRDefault="002038C0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Le paracétamol est entièrement métabolisé dans le foie. Certains métabolites du paracétamol sont hépatotoxiques, et une administration concomitante avec des inducteurs enzymatiques puissants (rifampicine, certains anticonvulsifs, etc.) peut donc conduire à des réactions hépatotoxiques, surtout en cas d'utilisation de doses élevées de paracétamol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[7]</w:t>
      </w:r>
      <w:r w:rsidR="00667354">
        <w:rPr>
          <w:rFonts w:ascii="Verdana" w:hAnsi="Verdana" w:cs="Arial"/>
          <w:sz w:val="18"/>
          <w:szCs w:val="18"/>
          <w:lang w:val="fr-BE"/>
        </w:rPr>
        <w:t>.</w:t>
      </w:r>
    </w:p>
    <w:p w14:paraId="0DA26616" w14:textId="77777777" w:rsidR="002038C0" w:rsidRPr="00AB67EE" w:rsidRDefault="002038C0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</w:p>
    <w:p w14:paraId="3D2701CB" w14:textId="1CBE3414" w:rsidR="00F4726B" w:rsidRPr="00AB67EE" w:rsidRDefault="00667354" w:rsidP="00AB67EE">
      <w:pPr>
        <w:numPr>
          <w:ilvl w:val="0"/>
          <w:numId w:val="5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b/>
          <w:sz w:val="18"/>
          <w:szCs w:val="18"/>
          <w:lang w:val="fr-BE"/>
        </w:rPr>
      </w:pPr>
      <w:proofErr w:type="spellStart"/>
      <w:r>
        <w:rPr>
          <w:rFonts w:ascii="Verdana" w:hAnsi="Verdana" w:cs="Arial"/>
          <w:b/>
          <w:sz w:val="18"/>
          <w:szCs w:val="18"/>
          <w:lang w:val="fr-BE"/>
        </w:rPr>
        <w:t>Colestyramine</w:t>
      </w:r>
      <w:proofErr w:type="spellEnd"/>
    </w:p>
    <w:p w14:paraId="041140D6" w14:textId="7104CFEC" w:rsidR="002038C0" w:rsidRPr="00AB67EE" w:rsidRDefault="00F4726B" w:rsidP="00AB67EE">
      <w:pPr>
        <w:tabs>
          <w:tab w:val="left" w:pos="2977"/>
          <w:tab w:val="left" w:pos="3402"/>
          <w:tab w:val="left" w:pos="3969"/>
        </w:tabs>
        <w:ind w:left="360"/>
        <w:rPr>
          <w:rFonts w:ascii="Verdana" w:hAnsi="Verdana" w:cs="Arial"/>
          <w:sz w:val="18"/>
          <w:szCs w:val="18"/>
          <w:lang w:val="fr-BE"/>
        </w:rPr>
      </w:pPr>
      <w:r w:rsidRPr="00844373">
        <w:rPr>
          <w:rFonts w:ascii="Verdana" w:hAnsi="Verdana" w:cs="Arial"/>
          <w:sz w:val="18"/>
          <w:szCs w:val="18"/>
          <w:lang w:val="fr-BE"/>
        </w:rPr>
        <w:t>L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a </w:t>
      </w:r>
      <w:proofErr w:type="spellStart"/>
      <w:r w:rsidR="002038C0" w:rsidRPr="00AB67EE">
        <w:rPr>
          <w:rFonts w:ascii="Verdana" w:hAnsi="Verdana" w:cs="Arial"/>
          <w:sz w:val="18"/>
          <w:szCs w:val="18"/>
          <w:lang w:val="fr-BE"/>
        </w:rPr>
        <w:t>colestyramine</w:t>
      </w:r>
      <w:proofErr w:type="spellEnd"/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 peut réduire l’absorption du paracétamol. Lorsqu’une administration concomitante de paracétamol et de </w:t>
      </w:r>
      <w:proofErr w:type="spellStart"/>
      <w:r w:rsidR="002038C0" w:rsidRPr="00AB67EE">
        <w:rPr>
          <w:rFonts w:ascii="Verdana" w:hAnsi="Verdana" w:cs="Arial"/>
          <w:sz w:val="18"/>
          <w:szCs w:val="18"/>
          <w:lang w:val="fr-BE"/>
        </w:rPr>
        <w:t>colestyramine</w:t>
      </w:r>
      <w:proofErr w:type="spellEnd"/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 est nécessaire, le paracétamol doit alors être pris au moins 1 heure avant ou 4 heures après l’administration de </w:t>
      </w:r>
      <w:proofErr w:type="spellStart"/>
      <w:r w:rsidR="002038C0" w:rsidRPr="00AB67EE">
        <w:rPr>
          <w:rFonts w:ascii="Verdana" w:hAnsi="Verdana" w:cs="Arial"/>
          <w:sz w:val="18"/>
          <w:szCs w:val="18"/>
          <w:lang w:val="fr-BE"/>
        </w:rPr>
        <w:t>colestyramine</w:t>
      </w:r>
      <w:proofErr w:type="spellEnd"/>
      <w:r w:rsidR="002038C0"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[2,4]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65253A98" w14:textId="77777777" w:rsidR="00F4726B" w:rsidRPr="00AB67EE" w:rsidRDefault="002038C0" w:rsidP="00AB67EE">
      <w:pPr>
        <w:numPr>
          <w:ilvl w:val="0"/>
          <w:numId w:val="5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b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Inducteurs enzymatiques et alcool</w:t>
      </w:r>
    </w:p>
    <w:p w14:paraId="501F6776" w14:textId="47E0A31B" w:rsidR="002038C0" w:rsidRPr="00AB67EE" w:rsidRDefault="00F4726B" w:rsidP="00AB67EE">
      <w:pPr>
        <w:tabs>
          <w:tab w:val="left" w:pos="2977"/>
          <w:tab w:val="left" w:pos="3402"/>
          <w:tab w:val="left" w:pos="3969"/>
        </w:tabs>
        <w:ind w:left="360"/>
        <w:rPr>
          <w:rFonts w:ascii="Verdana" w:hAnsi="Verdana" w:cs="Arial"/>
          <w:sz w:val="18"/>
          <w:szCs w:val="18"/>
          <w:lang w:val="fr-BE"/>
        </w:rPr>
      </w:pPr>
      <w:r w:rsidRPr="00844373">
        <w:rPr>
          <w:rFonts w:ascii="Verdana" w:hAnsi="Verdana" w:cs="Arial"/>
          <w:sz w:val="18"/>
          <w:szCs w:val="18"/>
          <w:lang w:val="fr-BE"/>
        </w:rPr>
        <w:t>L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e risque d’</w:t>
      </w:r>
      <w:proofErr w:type="spellStart"/>
      <w:r w:rsidR="002038C0" w:rsidRPr="00AB67EE">
        <w:rPr>
          <w:rFonts w:ascii="Verdana" w:hAnsi="Verdana" w:cs="Arial"/>
          <w:sz w:val="18"/>
          <w:szCs w:val="18"/>
          <w:lang w:val="fr-BE"/>
        </w:rPr>
        <w:t>hépatotoxicité</w:t>
      </w:r>
      <w:proofErr w:type="spellEnd"/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 peut être accru en cas d’utilisation d’inducteurs enzymatiques tels que les barbituriques, la carbamazépine, la </w:t>
      </w:r>
      <w:proofErr w:type="spellStart"/>
      <w:r w:rsidR="002038C0" w:rsidRPr="00AB67EE">
        <w:rPr>
          <w:rFonts w:ascii="Verdana" w:hAnsi="Verdana" w:cs="Arial"/>
          <w:sz w:val="18"/>
          <w:szCs w:val="18"/>
          <w:lang w:val="fr-BE"/>
        </w:rPr>
        <w:t>phénytoïne</w:t>
      </w:r>
      <w:proofErr w:type="spellEnd"/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, la </w:t>
      </w:r>
      <w:proofErr w:type="spellStart"/>
      <w:r w:rsidR="002038C0" w:rsidRPr="00AB67EE">
        <w:rPr>
          <w:rFonts w:ascii="Verdana" w:hAnsi="Verdana" w:cs="Arial"/>
          <w:sz w:val="18"/>
          <w:szCs w:val="18"/>
          <w:lang w:val="fr-BE"/>
        </w:rPr>
        <w:t>primidone</w:t>
      </w:r>
      <w:proofErr w:type="spellEnd"/>
      <w:r w:rsidR="002038C0" w:rsidRPr="00AB67EE">
        <w:rPr>
          <w:rFonts w:ascii="Verdana" w:hAnsi="Verdana" w:cs="Arial"/>
          <w:sz w:val="18"/>
          <w:szCs w:val="18"/>
          <w:lang w:val="fr-BE"/>
        </w:rPr>
        <w:t>, l’isoniazide, la rifampicine et l’alcool</w:t>
      </w:r>
      <w:r w:rsidR="002038C0"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[1,2,4]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. La dose maximale journalière ne peut certainement pas être dépassée chez ces patients (voir rubriques 4.2, 4.4 et 4.9).</w:t>
      </w:r>
    </w:p>
    <w:p w14:paraId="5FCB2E4D" w14:textId="77777777" w:rsidR="0056433E" w:rsidRPr="00AB67EE" w:rsidRDefault="002038C0" w:rsidP="00AB67EE">
      <w:pPr>
        <w:numPr>
          <w:ilvl w:val="0"/>
          <w:numId w:val="5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b/>
          <w:sz w:val="18"/>
          <w:szCs w:val="18"/>
          <w:lang w:val="fr-BE"/>
        </w:rPr>
      </w:pPr>
      <w:proofErr w:type="spellStart"/>
      <w:r w:rsidRPr="00AB67EE">
        <w:rPr>
          <w:rFonts w:ascii="Verdana" w:hAnsi="Verdana" w:cs="Arial"/>
          <w:b/>
          <w:sz w:val="18"/>
          <w:szCs w:val="18"/>
          <w:u w:val="single"/>
          <w:lang w:val="fr-BE"/>
        </w:rPr>
        <w:t>Probénécide</w:t>
      </w:r>
      <w:proofErr w:type="spellEnd"/>
    </w:p>
    <w:p w14:paraId="6CDA872B" w14:textId="0FDE135C" w:rsidR="002038C0" w:rsidRPr="00AB67EE" w:rsidRDefault="0056433E" w:rsidP="00AB67EE">
      <w:pPr>
        <w:tabs>
          <w:tab w:val="left" w:pos="2977"/>
          <w:tab w:val="left" w:pos="3402"/>
          <w:tab w:val="left" w:pos="3969"/>
        </w:tabs>
        <w:ind w:left="360"/>
        <w:rPr>
          <w:rFonts w:ascii="Verdana" w:hAnsi="Verdana" w:cs="Arial"/>
          <w:sz w:val="18"/>
          <w:szCs w:val="18"/>
          <w:lang w:val="fr-BE"/>
        </w:rPr>
      </w:pPr>
      <w:r w:rsidRPr="00844373">
        <w:rPr>
          <w:rFonts w:ascii="Verdana" w:hAnsi="Verdana" w:cs="Arial"/>
          <w:sz w:val="18"/>
          <w:szCs w:val="18"/>
          <w:lang w:val="fr-BE"/>
        </w:rPr>
        <w:t>L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e </w:t>
      </w:r>
      <w:proofErr w:type="spellStart"/>
      <w:r w:rsidR="002038C0" w:rsidRPr="00AB67EE">
        <w:rPr>
          <w:rFonts w:ascii="Verdana" w:hAnsi="Verdana" w:cs="Arial"/>
          <w:sz w:val="18"/>
          <w:szCs w:val="18"/>
          <w:lang w:val="fr-BE"/>
        </w:rPr>
        <w:t>probénécide</w:t>
      </w:r>
      <w:proofErr w:type="spellEnd"/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 peut réduire quasi de moitié la clairance du paracétamol, en </w:t>
      </w:r>
      <w:r w:rsidR="00226FD4" w:rsidRPr="00AB67EE">
        <w:rPr>
          <w:rFonts w:ascii="Verdana" w:hAnsi="Verdana" w:cs="Arial"/>
          <w:sz w:val="18"/>
          <w:szCs w:val="18"/>
          <w:lang w:val="fr-BE"/>
        </w:rPr>
        <w:t xml:space="preserve">inhibant 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la conjugaison avec l’acide </w:t>
      </w:r>
      <w:proofErr w:type="spellStart"/>
      <w:r w:rsidR="002038C0" w:rsidRPr="00AB67EE">
        <w:rPr>
          <w:rFonts w:ascii="Verdana" w:hAnsi="Verdana" w:cs="Arial"/>
          <w:sz w:val="18"/>
          <w:szCs w:val="18"/>
          <w:lang w:val="fr-BE"/>
        </w:rPr>
        <w:t>glucuronique</w:t>
      </w:r>
      <w:proofErr w:type="spellEnd"/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. Une réduction de la dose de paracétamol doit être envisagée en cas de traitement concomitant avec du </w:t>
      </w:r>
      <w:proofErr w:type="spellStart"/>
      <w:r w:rsidR="002038C0" w:rsidRPr="00AB67EE">
        <w:rPr>
          <w:rFonts w:ascii="Verdana" w:hAnsi="Verdana" w:cs="Arial"/>
          <w:sz w:val="18"/>
          <w:szCs w:val="18"/>
          <w:lang w:val="fr-BE"/>
        </w:rPr>
        <w:t>probénécide</w:t>
      </w:r>
      <w:proofErr w:type="spellEnd"/>
      <w:r w:rsidR="002038C0"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[1,2,4]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534FA810" w14:textId="7A1E4EC4" w:rsidR="0056433E" w:rsidRPr="00AB67EE" w:rsidRDefault="00667354" w:rsidP="00AB67EE">
      <w:pPr>
        <w:numPr>
          <w:ilvl w:val="0"/>
          <w:numId w:val="5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b/>
          <w:sz w:val="18"/>
          <w:szCs w:val="18"/>
          <w:lang w:val="fr-BE"/>
        </w:rPr>
      </w:pPr>
      <w:r>
        <w:rPr>
          <w:rFonts w:ascii="Verdana" w:hAnsi="Verdana" w:cs="Arial"/>
          <w:b/>
          <w:sz w:val="18"/>
          <w:szCs w:val="18"/>
          <w:lang w:val="fr-BE"/>
        </w:rPr>
        <w:t>Zidovudine</w:t>
      </w:r>
    </w:p>
    <w:p w14:paraId="55DAAF18" w14:textId="3851FA5D" w:rsidR="002038C0" w:rsidRPr="00AB67EE" w:rsidRDefault="0056433E" w:rsidP="00AB67EE">
      <w:pPr>
        <w:tabs>
          <w:tab w:val="left" w:pos="2977"/>
          <w:tab w:val="left" w:pos="3402"/>
          <w:tab w:val="left" w:pos="3969"/>
        </w:tabs>
        <w:ind w:left="360"/>
        <w:rPr>
          <w:rFonts w:ascii="Verdana" w:hAnsi="Verdana" w:cs="Arial"/>
          <w:sz w:val="18"/>
          <w:szCs w:val="18"/>
          <w:lang w:val="fr-BE"/>
        </w:rPr>
      </w:pPr>
      <w:r w:rsidRPr="00844373">
        <w:rPr>
          <w:rFonts w:ascii="Verdana" w:hAnsi="Verdana" w:cs="Arial"/>
          <w:sz w:val="18"/>
          <w:szCs w:val="18"/>
          <w:lang w:val="fr-BE"/>
        </w:rPr>
        <w:t>L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’administration concomitante de paracétamol et de zidovudine peut entraîner de la neutropénie et de l’</w:t>
      </w:r>
      <w:proofErr w:type="spellStart"/>
      <w:r w:rsidR="002038C0" w:rsidRPr="00AB67EE">
        <w:rPr>
          <w:rFonts w:ascii="Verdana" w:hAnsi="Verdana" w:cs="Arial"/>
          <w:sz w:val="18"/>
          <w:szCs w:val="18"/>
          <w:lang w:val="fr-BE"/>
        </w:rPr>
        <w:t>hépatotoxicité</w:t>
      </w:r>
      <w:proofErr w:type="spellEnd"/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. L'utilisation chronique/fréquente de paracétamol chez les patients traités au moyen de zidovudine, doit être </w:t>
      </w:r>
      <w:r w:rsidR="00C415ED" w:rsidRPr="00AB67EE">
        <w:rPr>
          <w:rFonts w:ascii="Verdana" w:hAnsi="Verdana" w:cs="Arial"/>
          <w:sz w:val="18"/>
          <w:szCs w:val="18"/>
          <w:lang w:val="fr-BE"/>
        </w:rPr>
        <w:t>évitée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. Si une utilisation chronique de paracétamol et de zidovudine est nécessaire, les globules blancs et la fonction hépatique doivent être contrôlés, en particulier chez les patients sous-alimentés</w:t>
      </w:r>
      <w:r w:rsidR="002038C0"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[1,2,4]</w:t>
      </w:r>
      <w:r w:rsidR="00667354">
        <w:rPr>
          <w:rFonts w:ascii="Verdana" w:hAnsi="Verdana" w:cs="Arial"/>
          <w:sz w:val="18"/>
          <w:szCs w:val="18"/>
          <w:lang w:val="fr-BE"/>
        </w:rPr>
        <w:t>.</w:t>
      </w:r>
    </w:p>
    <w:p w14:paraId="359444C9" w14:textId="2DAE6873" w:rsidR="00781A36" w:rsidRPr="00AB67EE" w:rsidRDefault="00667354" w:rsidP="00AB67EE">
      <w:pPr>
        <w:numPr>
          <w:ilvl w:val="0"/>
          <w:numId w:val="5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b/>
          <w:sz w:val="18"/>
          <w:szCs w:val="18"/>
          <w:lang w:val="fr-BE"/>
        </w:rPr>
      </w:pPr>
      <w:r>
        <w:rPr>
          <w:rFonts w:ascii="Verdana" w:hAnsi="Verdana" w:cs="Arial"/>
          <w:b/>
          <w:sz w:val="18"/>
          <w:szCs w:val="18"/>
          <w:lang w:val="fr-BE"/>
        </w:rPr>
        <w:t>Antagonistes de la vitamine K</w:t>
      </w:r>
    </w:p>
    <w:p w14:paraId="4F891E20" w14:textId="16E9DA19" w:rsidR="002038C0" w:rsidRPr="00844373" w:rsidRDefault="002038C0" w:rsidP="00AB67EE">
      <w:pPr>
        <w:tabs>
          <w:tab w:val="left" w:pos="2977"/>
          <w:tab w:val="left" w:pos="3402"/>
          <w:tab w:val="left" w:pos="3969"/>
        </w:tabs>
        <w:ind w:left="360"/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Un renforcement de l’effet des antagonistes de la vitamine K peut se produire, surtout en cas de prise régulière de doses élevées de paracétamol. Dans ce cas, un contrôle régulier </w:t>
      </w:r>
      <w:r w:rsidR="007972DF" w:rsidRPr="00AB67EE">
        <w:rPr>
          <w:rFonts w:ascii="Verdana" w:hAnsi="Verdana" w:cs="Arial"/>
          <w:sz w:val="18"/>
          <w:szCs w:val="18"/>
          <w:lang w:val="fr-BE"/>
        </w:rPr>
        <w:t xml:space="preserve">du 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International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Normalised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Ratio (INR) est recommandé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[1]</w:t>
      </w:r>
      <w:r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631166C5" w14:textId="77777777" w:rsidR="00781A36" w:rsidRPr="00AB67EE" w:rsidRDefault="002038C0" w:rsidP="00AB67EE">
      <w:pPr>
        <w:numPr>
          <w:ilvl w:val="0"/>
          <w:numId w:val="5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b/>
          <w:sz w:val="18"/>
          <w:szCs w:val="18"/>
          <w:lang w:val="fr-BE"/>
        </w:rPr>
      </w:pPr>
      <w:proofErr w:type="spellStart"/>
      <w:r w:rsidRPr="00AB67EE">
        <w:rPr>
          <w:rFonts w:ascii="Verdana" w:hAnsi="Verdana" w:cs="Arial"/>
          <w:b/>
          <w:sz w:val="18"/>
          <w:szCs w:val="18"/>
          <w:lang w:val="fr-BE"/>
        </w:rPr>
        <w:t>Lamotrigine</w:t>
      </w:r>
      <w:proofErr w:type="spellEnd"/>
    </w:p>
    <w:p w14:paraId="226EDC64" w14:textId="6BFFAEB4" w:rsidR="002038C0" w:rsidRPr="00AB67EE" w:rsidRDefault="00781A36" w:rsidP="00AB67EE">
      <w:pPr>
        <w:tabs>
          <w:tab w:val="left" w:pos="2977"/>
          <w:tab w:val="left" w:pos="3402"/>
          <w:tab w:val="left" w:pos="3969"/>
        </w:tabs>
        <w:ind w:left="360"/>
        <w:rPr>
          <w:rFonts w:ascii="Verdana" w:hAnsi="Verdana" w:cs="Arial"/>
          <w:sz w:val="18"/>
          <w:szCs w:val="18"/>
          <w:lang w:val="fr-BE"/>
        </w:rPr>
      </w:pPr>
      <w:r w:rsidRPr="00844373">
        <w:rPr>
          <w:rFonts w:ascii="Verdana" w:hAnsi="Verdana" w:cs="Arial"/>
          <w:sz w:val="18"/>
          <w:szCs w:val="18"/>
          <w:lang w:val="fr-BE"/>
        </w:rPr>
        <w:t>D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iminution de la </w:t>
      </w:r>
      <w:r w:rsidR="000549AA" w:rsidRPr="00AB67EE">
        <w:rPr>
          <w:rFonts w:ascii="Verdana" w:hAnsi="Verdana" w:cs="Arial"/>
          <w:sz w:val="18"/>
          <w:szCs w:val="18"/>
          <w:lang w:val="fr-BE"/>
        </w:rPr>
        <w:t>bio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disponibilité de la </w:t>
      </w:r>
      <w:proofErr w:type="spellStart"/>
      <w:r w:rsidR="002038C0" w:rsidRPr="00AB67EE">
        <w:rPr>
          <w:rFonts w:ascii="Verdana" w:hAnsi="Verdana" w:cs="Arial"/>
          <w:sz w:val="18"/>
          <w:szCs w:val="18"/>
          <w:lang w:val="fr-BE"/>
        </w:rPr>
        <w:t>lamotrigine</w:t>
      </w:r>
      <w:proofErr w:type="spellEnd"/>
      <w:r w:rsidR="002038C0" w:rsidRPr="00AB67EE">
        <w:rPr>
          <w:rFonts w:ascii="Verdana" w:hAnsi="Verdana" w:cs="Arial"/>
          <w:sz w:val="18"/>
          <w:szCs w:val="18"/>
          <w:lang w:val="fr-BE"/>
        </w:rPr>
        <w:t>, avec une possible réduction de l’effet</w:t>
      </w:r>
      <w:r w:rsidR="00C415ED" w:rsidRPr="00AB67EE">
        <w:rPr>
          <w:rFonts w:ascii="Verdana" w:hAnsi="Verdana" w:cs="Arial"/>
          <w:sz w:val="18"/>
          <w:szCs w:val="18"/>
          <w:lang w:val="fr-BE"/>
        </w:rPr>
        <w:t xml:space="preserve"> thérapeutique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, en raison d'une possible induction du métabolisme hépatique</w:t>
      </w:r>
      <w:r w:rsidR="002038C0"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[1,2,4]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256EE602" w14:textId="77777777" w:rsidR="00781A36" w:rsidRPr="00844373" w:rsidRDefault="002038C0" w:rsidP="00AB67EE">
      <w:pPr>
        <w:numPr>
          <w:ilvl w:val="0"/>
          <w:numId w:val="5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proofErr w:type="spellStart"/>
      <w:r w:rsidRPr="00AB67EE">
        <w:rPr>
          <w:rFonts w:ascii="Verdana" w:hAnsi="Verdana" w:cs="Arial"/>
          <w:b/>
          <w:sz w:val="18"/>
          <w:szCs w:val="18"/>
          <w:lang w:val="fr-BE"/>
        </w:rPr>
        <w:t>Métoclopramide</w:t>
      </w:r>
      <w:proofErr w:type="spellEnd"/>
      <w:r w:rsidRPr="00AB67EE">
        <w:rPr>
          <w:rFonts w:ascii="Verdana" w:hAnsi="Verdana" w:cs="Arial"/>
          <w:b/>
          <w:sz w:val="18"/>
          <w:szCs w:val="18"/>
          <w:lang w:val="fr-BE"/>
        </w:rPr>
        <w:t xml:space="preserve"> et </w:t>
      </w:r>
      <w:proofErr w:type="spellStart"/>
      <w:r w:rsidRPr="00AB67EE">
        <w:rPr>
          <w:rFonts w:ascii="Verdana" w:hAnsi="Verdana" w:cs="Arial"/>
          <w:b/>
          <w:sz w:val="18"/>
          <w:szCs w:val="18"/>
          <w:lang w:val="fr-BE"/>
        </w:rPr>
        <w:t>dompéridone</w:t>
      </w:r>
      <w:proofErr w:type="spellEnd"/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[1,2,4] </w:t>
      </w:r>
    </w:p>
    <w:p w14:paraId="2AFBADFB" w14:textId="46953699" w:rsidR="00781A36" w:rsidRPr="00AB67EE" w:rsidRDefault="00781A36" w:rsidP="00AB67EE">
      <w:pPr>
        <w:tabs>
          <w:tab w:val="left" w:pos="2977"/>
          <w:tab w:val="left" w:pos="3402"/>
          <w:tab w:val="left" w:pos="3969"/>
        </w:tabs>
        <w:ind w:left="360"/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R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ésorption accélérée du paracétamol dans l’intestin grêle due </w:t>
      </w:r>
      <w:r w:rsidR="001106A8" w:rsidRPr="00AB67EE">
        <w:rPr>
          <w:rFonts w:ascii="Verdana" w:hAnsi="Verdana" w:cs="Arial"/>
          <w:sz w:val="18"/>
          <w:szCs w:val="18"/>
          <w:lang w:val="fr-BE"/>
        </w:rPr>
        <w:t xml:space="preserve">à une 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vida</w:t>
      </w:r>
      <w:r w:rsidR="001106A8" w:rsidRPr="00AB67EE">
        <w:rPr>
          <w:rFonts w:ascii="Verdana" w:hAnsi="Verdana" w:cs="Arial"/>
          <w:sz w:val="18"/>
          <w:szCs w:val="18"/>
          <w:lang w:val="fr-BE"/>
        </w:rPr>
        <w:t>n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 xml:space="preserve">ge </w:t>
      </w:r>
      <w:r w:rsidR="00B61407" w:rsidRPr="00AB67EE">
        <w:rPr>
          <w:rFonts w:ascii="Verdana" w:hAnsi="Verdana" w:cs="Arial"/>
          <w:sz w:val="18"/>
          <w:szCs w:val="18"/>
          <w:lang w:val="fr-BE"/>
        </w:rPr>
        <w:t xml:space="preserve">gastrique 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accéléré</w:t>
      </w:r>
      <w:r w:rsidR="001106A8" w:rsidRPr="00AB67EE">
        <w:rPr>
          <w:rFonts w:ascii="Verdana" w:hAnsi="Verdana" w:cs="Arial"/>
          <w:sz w:val="18"/>
          <w:szCs w:val="18"/>
          <w:lang w:val="fr-BE"/>
        </w:rPr>
        <w:t>e</w:t>
      </w:r>
      <w:r w:rsidR="002038C0" w:rsidRPr="00AB67EE">
        <w:rPr>
          <w:rFonts w:ascii="Verdana" w:hAnsi="Verdana" w:cs="Arial"/>
          <w:sz w:val="18"/>
          <w:szCs w:val="18"/>
          <w:lang w:val="fr-BE"/>
        </w:rPr>
        <w:t>.</w:t>
      </w:r>
    </w:p>
    <w:p w14:paraId="6FE0A8A0" w14:textId="77777777" w:rsidR="00781A36" w:rsidRPr="00AB67EE" w:rsidRDefault="00BD02A0" w:rsidP="00AB67EE">
      <w:pPr>
        <w:pStyle w:val="Lijstalinea"/>
        <w:numPr>
          <w:ilvl w:val="0"/>
          <w:numId w:val="5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b/>
          <w:sz w:val="18"/>
          <w:szCs w:val="18"/>
          <w:lang w:val="fr-BE"/>
        </w:rPr>
      </w:pPr>
      <w:proofErr w:type="spellStart"/>
      <w:r w:rsidRPr="00AB67EE">
        <w:rPr>
          <w:rFonts w:ascii="Verdana" w:hAnsi="Verdana" w:cs="Arial"/>
          <w:b/>
          <w:sz w:val="18"/>
          <w:szCs w:val="18"/>
          <w:lang w:val="fr-BE"/>
        </w:rPr>
        <w:t>Flucloxacilline</w:t>
      </w:r>
      <w:proofErr w:type="spellEnd"/>
    </w:p>
    <w:p w14:paraId="18937E04" w14:textId="4ADE10A6" w:rsidR="002038C0" w:rsidRPr="00844373" w:rsidRDefault="00BD02A0" w:rsidP="00AB67EE">
      <w:pPr>
        <w:pStyle w:val="Lijstalinea"/>
        <w:tabs>
          <w:tab w:val="left" w:pos="2977"/>
          <w:tab w:val="left" w:pos="3402"/>
          <w:tab w:val="left" w:pos="3969"/>
        </w:tabs>
        <w:ind w:left="360"/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La prudence est conseillée lors de l’administration de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flucloxacilline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et de paracétamol de façon concomitante, car leur prise simultanée a été associée à l’acidose métabolique à trou anionique élevé, notamment chez les patients présentant des facteurs de risque</w:t>
      </w:r>
      <w:r w:rsidR="00781A36" w:rsidRPr="00844373">
        <w:rPr>
          <w:rFonts w:ascii="Verdana" w:hAnsi="Verdana" w:cs="Arial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Arial"/>
          <w:sz w:val="18"/>
          <w:szCs w:val="18"/>
          <w:lang w:val="fr-BE"/>
        </w:rPr>
        <w:t>(voir la rubrique 4.4)</w:t>
      </w:r>
      <w:r w:rsidR="00781A36" w:rsidRPr="00844373">
        <w:rPr>
          <w:rFonts w:ascii="Verdana" w:hAnsi="Verdana" w:cs="Arial"/>
          <w:sz w:val="18"/>
          <w:szCs w:val="18"/>
          <w:lang w:val="fr-BE"/>
        </w:rPr>
        <w:t>.</w:t>
      </w:r>
      <w:r w:rsidR="0026103E"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[11]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 </w:t>
      </w:r>
    </w:p>
    <w:p w14:paraId="0A81BF78" w14:textId="44318174" w:rsidR="00781A36" w:rsidRPr="00844373" w:rsidRDefault="002038C0" w:rsidP="00AB67EE">
      <w:pPr>
        <w:numPr>
          <w:ilvl w:val="0"/>
          <w:numId w:val="5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Interaction avec tests diagnostiques</w:t>
      </w:r>
    </w:p>
    <w:p w14:paraId="6D56194C" w14:textId="466A599C" w:rsidR="002038C0" w:rsidRPr="00AB67EE" w:rsidRDefault="002038C0" w:rsidP="00AB67EE">
      <w:pPr>
        <w:tabs>
          <w:tab w:val="left" w:pos="2977"/>
          <w:tab w:val="left" w:pos="3402"/>
          <w:tab w:val="left" w:pos="3969"/>
        </w:tabs>
        <w:ind w:left="360"/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L’administration de paracétamol peut interférer avec la détermination du taux d’acide urique dans le sang par la méthode </w:t>
      </w:r>
      <w:r w:rsidR="0000390D" w:rsidRPr="00AB67EE">
        <w:rPr>
          <w:rFonts w:ascii="Verdana" w:hAnsi="Verdana" w:cs="Arial"/>
          <w:sz w:val="18"/>
          <w:szCs w:val="18"/>
          <w:lang w:val="fr-BE"/>
        </w:rPr>
        <w:t xml:space="preserve">à 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l’acide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phosphotungstique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et </w:t>
      </w:r>
      <w:r w:rsidR="0000390D" w:rsidRPr="00AB67EE">
        <w:rPr>
          <w:rFonts w:ascii="Verdana" w:hAnsi="Verdana" w:cs="Arial"/>
          <w:sz w:val="18"/>
          <w:szCs w:val="18"/>
          <w:lang w:val="fr-BE"/>
        </w:rPr>
        <w:t xml:space="preserve">avec </w:t>
      </w:r>
      <w:r w:rsidRPr="00AB67EE">
        <w:rPr>
          <w:rFonts w:ascii="Verdana" w:hAnsi="Verdana" w:cs="Arial"/>
          <w:sz w:val="18"/>
          <w:szCs w:val="18"/>
          <w:lang w:val="fr-BE"/>
        </w:rPr>
        <w:t>la détermination du glucose sanguin par la méthode du glucose oxydase-peroxydase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[2]</w:t>
      </w:r>
      <w:r w:rsidR="00667354">
        <w:rPr>
          <w:rFonts w:ascii="Verdana" w:hAnsi="Verdana" w:cs="Arial"/>
          <w:sz w:val="18"/>
          <w:szCs w:val="18"/>
          <w:lang w:val="fr-BE"/>
        </w:rPr>
        <w:t>.</w:t>
      </w:r>
    </w:p>
    <w:p w14:paraId="1D564886" w14:textId="42E91212" w:rsidR="002038C0" w:rsidRPr="00AB67EE" w:rsidRDefault="002038C0" w:rsidP="00AB67EE">
      <w:pPr>
        <w:numPr>
          <w:ilvl w:val="0"/>
          <w:numId w:val="5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&lt;</w:t>
      </w:r>
      <w:r w:rsidR="00A51045" w:rsidRPr="00844373">
        <w:rPr>
          <w:rFonts w:ascii="Verdana" w:hAnsi="Verdana" w:cs="Arial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Optionnel : </w:t>
      </w:r>
      <w:proofErr w:type="spellStart"/>
      <w:r w:rsidRPr="00AB67EE">
        <w:rPr>
          <w:rFonts w:ascii="Verdana" w:hAnsi="Verdana" w:cs="Arial"/>
          <w:b/>
          <w:sz w:val="18"/>
          <w:szCs w:val="18"/>
          <w:lang w:val="fr-BE"/>
        </w:rPr>
        <w:t>Anticontraceptifs</w:t>
      </w:r>
      <w:proofErr w:type="spellEnd"/>
      <w:r w:rsidRPr="00AB67EE">
        <w:rPr>
          <w:rFonts w:ascii="Verdana" w:hAnsi="Verdana" w:cs="Arial"/>
          <w:b/>
          <w:sz w:val="18"/>
          <w:szCs w:val="18"/>
          <w:lang w:val="fr-BE"/>
        </w:rPr>
        <w:t xml:space="preserve"> hormonaux/œstrogènes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[7]</w:t>
      </w:r>
      <w:r w:rsidRPr="00AB67EE">
        <w:rPr>
          <w:rFonts w:ascii="Verdana" w:hAnsi="Verdana" w:cs="Arial"/>
          <w:sz w:val="18"/>
          <w:szCs w:val="18"/>
          <w:lang w:val="fr-BE"/>
        </w:rPr>
        <w:t>: diminution du taux plasmatique du paracétamol avec une efficacité éventuellement réduite, en raison de l’induction du métabolisme.</w:t>
      </w:r>
      <w:r w:rsidR="00A51045" w:rsidRPr="00844373">
        <w:rPr>
          <w:rFonts w:ascii="Verdana" w:hAnsi="Verdana" w:cs="Arial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Arial"/>
          <w:sz w:val="18"/>
          <w:szCs w:val="18"/>
          <w:lang w:val="fr-BE"/>
        </w:rPr>
        <w:t>&gt;</w:t>
      </w:r>
    </w:p>
    <w:p w14:paraId="4BA57142" w14:textId="2B74223A" w:rsidR="002038C0" w:rsidRPr="00AB67EE" w:rsidRDefault="002038C0" w:rsidP="00AB67EE">
      <w:pPr>
        <w:numPr>
          <w:ilvl w:val="0"/>
          <w:numId w:val="5"/>
        </w:num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&lt;Optionnel : </w:t>
      </w:r>
      <w:r w:rsidRPr="00AB67EE">
        <w:rPr>
          <w:rFonts w:ascii="Verdana" w:hAnsi="Verdana" w:cs="Verdana"/>
          <w:b/>
          <w:sz w:val="18"/>
          <w:szCs w:val="18"/>
          <w:lang w:val="fr-BE"/>
        </w:rPr>
        <w:t>Chloramphénicol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[4,7] </w:t>
      </w:r>
      <w:r w:rsidRPr="00AB67EE">
        <w:rPr>
          <w:rFonts w:ascii="Verdana" w:hAnsi="Verdana" w:cs="Verdana"/>
          <w:sz w:val="18"/>
          <w:szCs w:val="18"/>
          <w:lang w:val="fr-BE"/>
        </w:rPr>
        <w:t>: renforcement possible de la toxicité du chloramphénicol, par inhibition du métabolisme hépatique.</w:t>
      </w:r>
      <w:r w:rsidR="00A51045" w:rsidRPr="00844373">
        <w:rPr>
          <w:rFonts w:ascii="Verdana" w:hAnsi="Verdana" w:cs="Verdana"/>
          <w:sz w:val="18"/>
          <w:szCs w:val="18"/>
          <w:lang w:val="fr-BE"/>
        </w:rPr>
        <w:t xml:space="preserve"> &gt;</w:t>
      </w:r>
    </w:p>
    <w:p w14:paraId="24F6CA98" w14:textId="77777777" w:rsidR="002038C0" w:rsidRPr="00AB67EE" w:rsidRDefault="002038C0" w:rsidP="006947BE">
      <w:pPr>
        <w:widowControl w:val="0"/>
        <w:rPr>
          <w:rFonts w:ascii="Verdana" w:hAnsi="Verdana"/>
          <w:sz w:val="18"/>
          <w:szCs w:val="18"/>
          <w:lang w:val="fr-BE"/>
        </w:rPr>
      </w:pPr>
    </w:p>
    <w:p w14:paraId="49D08913" w14:textId="78FC7ECC" w:rsidR="002038C0" w:rsidRPr="00844373" w:rsidRDefault="002038C0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4.6 Fertilité, grossesse et allaitement</w:t>
      </w:r>
    </w:p>
    <w:p w14:paraId="03D46F99" w14:textId="77777777" w:rsidR="0059724D" w:rsidRPr="00AB67EE" w:rsidRDefault="0059724D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</w:p>
    <w:p w14:paraId="60277438" w14:textId="5C7BB42F" w:rsidR="002038C0" w:rsidRPr="00AB67EE" w:rsidRDefault="00667354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b/>
          <w:sz w:val="18"/>
          <w:szCs w:val="18"/>
          <w:lang w:val="fr-BE"/>
        </w:rPr>
      </w:pPr>
      <w:r>
        <w:rPr>
          <w:rFonts w:ascii="Verdana" w:hAnsi="Verdana" w:cs="Arial"/>
          <w:b/>
          <w:sz w:val="18"/>
          <w:szCs w:val="18"/>
          <w:lang w:val="fr-BE"/>
        </w:rPr>
        <w:t>Grossesse</w:t>
      </w:r>
    </w:p>
    <w:p w14:paraId="64A26BC6" w14:textId="797CE39A" w:rsidR="00C50784" w:rsidRPr="00AB67EE" w:rsidRDefault="00C50784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Une </w:t>
      </w:r>
      <w:r w:rsidR="00143E0C" w:rsidRPr="00AB67EE">
        <w:rPr>
          <w:rFonts w:ascii="Verdana" w:hAnsi="Verdana" w:cs="Arial"/>
          <w:sz w:val="18"/>
          <w:szCs w:val="18"/>
          <w:lang w:val="fr-BE"/>
        </w:rPr>
        <w:t>grande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 quantité de données portant sur les femmes enceintes démontrent l’absence de toute malformation ou de toute toxicité </w:t>
      </w:r>
      <w:r w:rsidR="00AC5A63" w:rsidRPr="00844373">
        <w:rPr>
          <w:rFonts w:ascii="Verdana" w:hAnsi="Verdana" w:cs="Arial"/>
          <w:sz w:val="18"/>
          <w:szCs w:val="18"/>
          <w:lang w:val="fr-BE"/>
        </w:rPr>
        <w:t>fœtale</w:t>
      </w:r>
      <w:r w:rsidRPr="00AB67EE">
        <w:rPr>
          <w:rFonts w:ascii="Verdana" w:hAnsi="Verdana" w:cs="Arial"/>
          <w:sz w:val="18"/>
          <w:szCs w:val="18"/>
          <w:lang w:val="fr-BE"/>
        </w:rPr>
        <w:t xml:space="preserve">/néonatale. Les études épidémiologiques consacrées au </w:t>
      </w:r>
      <w:proofErr w:type="spellStart"/>
      <w:r w:rsidRPr="00AB67EE">
        <w:rPr>
          <w:rFonts w:ascii="Verdana" w:hAnsi="Verdana" w:cs="Arial"/>
          <w:sz w:val="18"/>
          <w:szCs w:val="18"/>
          <w:lang w:val="fr-BE"/>
        </w:rPr>
        <w:t>neurodéveloppement</w:t>
      </w:r>
      <w:proofErr w:type="spellEnd"/>
      <w:r w:rsidRPr="00AB67EE">
        <w:rPr>
          <w:rFonts w:ascii="Verdana" w:hAnsi="Verdana" w:cs="Arial"/>
          <w:sz w:val="18"/>
          <w:szCs w:val="18"/>
          <w:lang w:val="fr-BE"/>
        </w:rPr>
        <w:t xml:space="preserve"> des enfants exposés au paracétamol in utero produisent des résultats non concluants. Si cela s’avère nécessaire d’un point de vue clinique, {Nom de fantaisie} peut être utilisé pendant la grossesse</w:t>
      </w:r>
      <w:r w:rsidR="00AC5A63" w:rsidRPr="00844373">
        <w:rPr>
          <w:rFonts w:ascii="Verdana" w:hAnsi="Verdana" w:cs="Arial"/>
          <w:sz w:val="18"/>
          <w:szCs w:val="18"/>
          <w:lang w:val="fr-BE"/>
        </w:rPr>
        <w:t>. C</w:t>
      </w:r>
      <w:r w:rsidRPr="00AB67EE">
        <w:rPr>
          <w:rFonts w:ascii="Verdana" w:hAnsi="Verdana" w:cs="Arial"/>
          <w:sz w:val="18"/>
          <w:szCs w:val="18"/>
          <w:lang w:val="fr-BE"/>
        </w:rPr>
        <w:t>ependant, il devra être utilisé à la dose efficace la plus faible, pendant la durée la plus courte possible et à la fréquence la plus réduite possible.</w:t>
      </w:r>
      <w:r w:rsidR="00C52A1B"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[12]</w:t>
      </w:r>
    </w:p>
    <w:p w14:paraId="460D6631" w14:textId="77777777" w:rsidR="002038C0" w:rsidRPr="00AB67EE" w:rsidRDefault="002038C0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u w:val="single"/>
          <w:lang w:val="fr-BE"/>
        </w:rPr>
      </w:pPr>
    </w:p>
    <w:p w14:paraId="0B1648C9" w14:textId="77777777" w:rsidR="002038C0" w:rsidRPr="00AB67EE" w:rsidRDefault="002038C0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b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Allaitement</w:t>
      </w:r>
    </w:p>
    <w:p w14:paraId="70F2F878" w14:textId="77777777" w:rsidR="002038C0" w:rsidRPr="00AB67EE" w:rsidRDefault="002038C0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 xml:space="preserve">Le paracétamol et ses métabolites sont excrétés dans le lait maternel, mais </w:t>
      </w:r>
      <w:r w:rsidR="00F805E8" w:rsidRPr="00AB67EE">
        <w:rPr>
          <w:rFonts w:ascii="Verdana" w:hAnsi="Verdana" w:cs="Arial"/>
          <w:sz w:val="18"/>
          <w:szCs w:val="18"/>
          <w:lang w:val="fr-BE"/>
        </w:rPr>
        <w:t xml:space="preserve">aux </w:t>
      </w:r>
      <w:r w:rsidRPr="00AB67EE">
        <w:rPr>
          <w:rFonts w:ascii="Verdana" w:hAnsi="Verdana" w:cs="Arial"/>
          <w:sz w:val="18"/>
          <w:szCs w:val="18"/>
          <w:lang w:val="fr-BE"/>
        </w:rPr>
        <w:t>doses thérapeutiques de {Nom de fantaisie}, aucun effet n’est attendu chez les enfants allaités. {Nom de fantaisie} peut être utilisé pendant l’allaitement.</w:t>
      </w:r>
    </w:p>
    <w:p w14:paraId="34330F4D" w14:textId="77777777" w:rsidR="00202506" w:rsidRPr="00AB67EE" w:rsidRDefault="00202506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</w:p>
    <w:p w14:paraId="25DED29E" w14:textId="77777777" w:rsidR="00202506" w:rsidRPr="00AB67EE" w:rsidRDefault="00202506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b/>
          <w:sz w:val="18"/>
          <w:szCs w:val="18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Fertilité</w:t>
      </w:r>
    </w:p>
    <w:p w14:paraId="219B2C39" w14:textId="473478A4" w:rsidR="00CE55EE" w:rsidRPr="00AB67EE" w:rsidRDefault="003F2028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Il n’y a pas suffisamment de données cliniques adéquates disponibles concernant la fertilité masculine ou féminine.</w:t>
      </w:r>
    </w:p>
    <w:p w14:paraId="40186262" w14:textId="612E1947" w:rsidR="002038C0" w:rsidRPr="00AB67EE" w:rsidRDefault="002038C0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Tahoma"/>
          <w:b/>
          <w:sz w:val="18"/>
          <w:szCs w:val="18"/>
          <w:lang w:val="fr-BE"/>
        </w:rPr>
      </w:pPr>
      <w:r w:rsidRPr="00AB67EE">
        <w:rPr>
          <w:rFonts w:ascii="Verdana" w:hAnsi="Verdana" w:cs="Tahoma"/>
          <w:b/>
          <w:sz w:val="18"/>
          <w:szCs w:val="18"/>
          <w:lang w:val="fr-BE"/>
        </w:rPr>
        <w:t>4.7 Effets sur l’aptitude à conduire des véhicules et à utiliser des machines</w:t>
      </w:r>
      <w:r w:rsidRPr="00AB67EE">
        <w:rPr>
          <w:rFonts w:ascii="Verdana" w:hAnsi="Verdana" w:cs="Tahoma"/>
          <w:sz w:val="18"/>
          <w:szCs w:val="18"/>
          <w:vertAlign w:val="superscript"/>
          <w:lang w:val="fr-BE"/>
        </w:rPr>
        <w:t>[2]</w:t>
      </w:r>
    </w:p>
    <w:p w14:paraId="7BB15AB2" w14:textId="59300135" w:rsidR="002038C0" w:rsidRPr="00AB67EE" w:rsidRDefault="002038C0" w:rsidP="00AB67EE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  <w:lang w:val="fr-BE"/>
        </w:rPr>
      </w:pPr>
      <w:r w:rsidRPr="00AB67EE">
        <w:rPr>
          <w:rFonts w:ascii="Verdana" w:hAnsi="Verdana" w:cs="Arial"/>
          <w:sz w:val="18"/>
          <w:szCs w:val="18"/>
          <w:lang w:val="fr-BE"/>
        </w:rPr>
        <w:t>Le paracétamol n’a pas d’influence sur la conduite et l’utilisation de machines.</w:t>
      </w:r>
    </w:p>
    <w:p w14:paraId="58FC469F" w14:textId="77777777" w:rsidR="00CE55EE" w:rsidRPr="00D273B3" w:rsidRDefault="00CE55EE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Arial"/>
          <w:sz w:val="18"/>
          <w:szCs w:val="18"/>
          <w:lang w:val="fr-BE"/>
        </w:rPr>
      </w:pPr>
    </w:p>
    <w:p w14:paraId="5DF14A1D" w14:textId="21AB2134" w:rsidR="002038C0" w:rsidRPr="00AB67EE" w:rsidRDefault="002038C0" w:rsidP="00AB67EE">
      <w:pPr>
        <w:tabs>
          <w:tab w:val="left" w:pos="2977"/>
          <w:tab w:val="left" w:pos="3402"/>
          <w:tab w:val="left" w:pos="3969"/>
        </w:tabs>
        <w:rPr>
          <w:rFonts w:ascii="Verdana" w:hAnsi="Verdana" w:cs="Tahoma"/>
          <w:sz w:val="18"/>
          <w:szCs w:val="18"/>
          <w:vertAlign w:val="superscript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4.8 Effets indésirables</w:t>
      </w:r>
      <w:r w:rsidRPr="00AB67EE">
        <w:rPr>
          <w:rFonts w:ascii="Verdana" w:hAnsi="Verdana" w:cs="Tahoma"/>
          <w:sz w:val="18"/>
          <w:szCs w:val="18"/>
          <w:vertAlign w:val="superscript"/>
          <w:lang w:val="fr-BE"/>
        </w:rPr>
        <w:t>[1,2]</w:t>
      </w:r>
    </w:p>
    <w:p w14:paraId="0CB5173A" w14:textId="77777777" w:rsidR="002038C0" w:rsidRPr="00AB67EE" w:rsidRDefault="002038C0" w:rsidP="00AB67EE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>Les effets indésirables sont répertoriés par classe d’organe et selon la fréquence d’apparition.</w:t>
      </w:r>
    </w:p>
    <w:p w14:paraId="1A48B3A3" w14:textId="77777777" w:rsidR="002038C0" w:rsidRPr="00844373" w:rsidRDefault="002038C0" w:rsidP="00AB67EE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>La convention suivante a été utilisée pour la classification des effets indésirables par fréquence :</w:t>
      </w:r>
    </w:p>
    <w:p w14:paraId="01F4298D" w14:textId="77777777" w:rsidR="00745F73" w:rsidRPr="00AB67EE" w:rsidRDefault="00745F73" w:rsidP="00AB67EE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fr-BE"/>
        </w:rPr>
      </w:pPr>
    </w:p>
    <w:p w14:paraId="5B8734DC" w14:textId="109A4143" w:rsidR="00745F73" w:rsidRPr="00844373" w:rsidRDefault="00745F73" w:rsidP="00AB67EE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fr-BE"/>
        </w:rPr>
      </w:pPr>
      <w:r w:rsidRPr="00844373">
        <w:rPr>
          <w:rFonts w:ascii="Verdana" w:hAnsi="Verdana" w:cs="Tahoma"/>
          <w:sz w:val="18"/>
          <w:szCs w:val="18"/>
          <w:lang w:val="fr-BE"/>
        </w:rPr>
        <w:t>t</w:t>
      </w:r>
      <w:r w:rsidR="002038C0" w:rsidRPr="00AB67EE">
        <w:rPr>
          <w:rFonts w:ascii="Verdana" w:hAnsi="Verdana" w:cs="Tahoma"/>
          <w:sz w:val="18"/>
          <w:szCs w:val="18"/>
          <w:lang w:val="fr-BE"/>
        </w:rPr>
        <w:t xml:space="preserve">rès </w:t>
      </w:r>
      <w:r w:rsidR="003664F2" w:rsidRPr="00AB67EE">
        <w:rPr>
          <w:rFonts w:ascii="Verdana" w:hAnsi="Verdana" w:cs="Tahoma"/>
          <w:sz w:val="18"/>
          <w:szCs w:val="18"/>
          <w:lang w:val="fr-BE"/>
        </w:rPr>
        <w:t xml:space="preserve">fréquent </w:t>
      </w:r>
      <w:r w:rsidR="002038C0" w:rsidRPr="00AB67EE">
        <w:rPr>
          <w:rFonts w:ascii="Verdana" w:hAnsi="Verdana" w:cs="Tahoma"/>
          <w:sz w:val="18"/>
          <w:szCs w:val="18"/>
          <w:lang w:val="fr-BE"/>
        </w:rPr>
        <w:t>(</w:t>
      </w:r>
      <w:r w:rsidR="00552945" w:rsidRPr="00AB67EE">
        <w:rPr>
          <w:rFonts w:ascii="Verdana" w:hAnsi="Verdana" w:cs="Tahoma"/>
          <w:sz w:val="18"/>
          <w:szCs w:val="18"/>
          <w:lang w:val="fr-BE" w:bidi="en-US"/>
        </w:rPr>
        <w:t>≥</w:t>
      </w:r>
      <w:r w:rsidR="002038C0" w:rsidRPr="00AB67EE">
        <w:rPr>
          <w:rFonts w:ascii="Verdana" w:hAnsi="Verdana" w:cs="Tahoma"/>
          <w:sz w:val="18"/>
          <w:szCs w:val="18"/>
          <w:lang w:val="fr-BE"/>
        </w:rPr>
        <w:t>1/10)</w:t>
      </w:r>
    </w:p>
    <w:p w14:paraId="433861D0" w14:textId="3E5A214B" w:rsidR="00745F73" w:rsidRPr="00844373" w:rsidRDefault="003664F2" w:rsidP="00AB67EE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 xml:space="preserve">fréquent </w:t>
      </w:r>
      <w:r w:rsidR="002038C0" w:rsidRPr="00AB67EE">
        <w:rPr>
          <w:rFonts w:ascii="Verdana" w:hAnsi="Verdana" w:cs="Tahoma"/>
          <w:sz w:val="18"/>
          <w:szCs w:val="18"/>
          <w:lang w:val="fr-BE"/>
        </w:rPr>
        <w:t>(</w:t>
      </w:r>
      <w:r w:rsidR="00552945" w:rsidRPr="00AB67EE">
        <w:rPr>
          <w:rFonts w:ascii="Verdana" w:hAnsi="Verdana" w:cs="Tahoma"/>
          <w:sz w:val="18"/>
          <w:szCs w:val="18"/>
          <w:lang w:val="fr-BE" w:bidi="en-US"/>
        </w:rPr>
        <w:t>≥</w:t>
      </w:r>
      <w:r w:rsidR="002038C0" w:rsidRPr="00AB67EE">
        <w:rPr>
          <w:rFonts w:ascii="Verdana" w:hAnsi="Verdana" w:cs="Tahoma"/>
          <w:sz w:val="18"/>
          <w:szCs w:val="18"/>
          <w:lang w:val="fr-BE"/>
        </w:rPr>
        <w:t>1/100, &lt;1/10)</w:t>
      </w:r>
    </w:p>
    <w:p w14:paraId="48577F7D" w14:textId="04129F43" w:rsidR="00745F73" w:rsidRPr="00844373" w:rsidRDefault="00F77A53" w:rsidP="00AB67EE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>peu</w:t>
      </w:r>
      <w:r w:rsidR="003664F2" w:rsidRPr="00AB67EE">
        <w:rPr>
          <w:rFonts w:ascii="Verdana" w:hAnsi="Verdana" w:cs="Tahoma"/>
          <w:sz w:val="18"/>
          <w:szCs w:val="18"/>
          <w:lang w:val="fr-BE"/>
        </w:rPr>
        <w:t xml:space="preserve"> fréquent </w:t>
      </w:r>
      <w:r w:rsidR="002038C0" w:rsidRPr="00AB67EE">
        <w:rPr>
          <w:rFonts w:ascii="Verdana" w:hAnsi="Verdana" w:cs="Tahoma"/>
          <w:sz w:val="18"/>
          <w:szCs w:val="18"/>
          <w:lang w:val="fr-BE"/>
        </w:rPr>
        <w:t>(</w:t>
      </w:r>
      <w:r w:rsidR="00552945" w:rsidRPr="00AB67EE">
        <w:rPr>
          <w:rFonts w:ascii="Verdana" w:hAnsi="Verdana" w:cs="Tahoma"/>
          <w:sz w:val="18"/>
          <w:szCs w:val="18"/>
          <w:lang w:val="fr-BE" w:bidi="en-US"/>
        </w:rPr>
        <w:t>≥</w:t>
      </w:r>
      <w:r w:rsidR="002038C0" w:rsidRPr="00AB67EE">
        <w:rPr>
          <w:rFonts w:ascii="Verdana" w:hAnsi="Verdana" w:cs="Tahoma"/>
          <w:sz w:val="18"/>
          <w:szCs w:val="18"/>
          <w:lang w:val="fr-BE"/>
        </w:rPr>
        <w:t>1/1.000, &lt;1/100)</w:t>
      </w:r>
    </w:p>
    <w:p w14:paraId="4A1258B8" w14:textId="674A8EE7" w:rsidR="00745F73" w:rsidRPr="00844373" w:rsidRDefault="002038C0" w:rsidP="00AB67EE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>rare (</w:t>
      </w:r>
      <w:r w:rsidR="00552945">
        <w:rPr>
          <w:rFonts w:ascii="Verdana" w:hAnsi="Verdana" w:cs="Tahoma"/>
          <w:sz w:val="18"/>
          <w:szCs w:val="18"/>
          <w:lang w:val="nl-BE" w:bidi="en-US"/>
        </w:rPr>
        <w:t>≥</w:t>
      </w:r>
      <w:r w:rsidRPr="00AB67EE">
        <w:rPr>
          <w:rFonts w:ascii="Verdana" w:hAnsi="Verdana" w:cs="Tahoma"/>
          <w:sz w:val="18"/>
          <w:szCs w:val="18"/>
          <w:lang w:val="fr-BE"/>
        </w:rPr>
        <w:t>1/10.000, &lt;1/1.000)</w:t>
      </w:r>
    </w:p>
    <w:p w14:paraId="52D32F8A" w14:textId="32592C7B" w:rsidR="00745F73" w:rsidRPr="00844373" w:rsidRDefault="002038C0" w:rsidP="00AB67EE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>très rare (&lt;1/10.000)</w:t>
      </w:r>
    </w:p>
    <w:p w14:paraId="72202417" w14:textId="3D257E4A" w:rsidR="002038C0" w:rsidRPr="00AB67EE" w:rsidRDefault="00F77A53" w:rsidP="00AB67EE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/>
          <w:sz w:val="18"/>
          <w:szCs w:val="18"/>
          <w:lang w:val="fr-BE"/>
        </w:rPr>
        <w:t>fréquence indéterminée (ne peut être estimée sur la base des données disponibles)</w:t>
      </w:r>
    </w:p>
    <w:p w14:paraId="5615892E" w14:textId="77777777" w:rsidR="002038C0" w:rsidRPr="00AB67EE" w:rsidRDefault="002038C0" w:rsidP="006947BE">
      <w:pPr>
        <w:widowControl w:val="0"/>
        <w:autoSpaceDE w:val="0"/>
        <w:autoSpaceDN w:val="0"/>
        <w:adjustRightInd w:val="0"/>
        <w:rPr>
          <w:rFonts w:ascii="Verdana" w:hAnsi="Verdana" w:cs="TimesNewRomanPS-BoldMT"/>
          <w:sz w:val="18"/>
          <w:szCs w:val="18"/>
          <w:lang w:val="fr-B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4"/>
        <w:gridCol w:w="2444"/>
      </w:tblGrid>
      <w:tr w:rsidR="002038C0" w:rsidRPr="00844373" w14:paraId="15895FDC" w14:textId="77777777" w:rsidTr="002378E7">
        <w:tc>
          <w:tcPr>
            <w:tcW w:w="2444" w:type="dxa"/>
            <w:shd w:val="clear" w:color="auto" w:fill="F3F3F3"/>
          </w:tcPr>
          <w:p w14:paraId="133C893F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Classes de système/d’organe</w:t>
            </w:r>
          </w:p>
        </w:tc>
        <w:tc>
          <w:tcPr>
            <w:tcW w:w="2444" w:type="dxa"/>
            <w:shd w:val="clear" w:color="auto" w:fill="F3F3F3"/>
          </w:tcPr>
          <w:p w14:paraId="146A0012" w14:textId="476C2B5E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NewRomanPS-BoldMT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rare (</w:t>
            </w:r>
            <w:r w:rsidR="00552945">
              <w:rPr>
                <w:rFonts w:ascii="Verdana" w:hAnsi="Verdana" w:cs="Tahoma"/>
                <w:sz w:val="18"/>
                <w:szCs w:val="18"/>
                <w:lang w:val="nl-BE" w:bidi="en-US"/>
              </w:rPr>
              <w:t>≥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1/10.000, &lt;1/1.000)</w:t>
            </w:r>
          </w:p>
        </w:tc>
        <w:tc>
          <w:tcPr>
            <w:tcW w:w="2444" w:type="dxa"/>
            <w:shd w:val="clear" w:color="auto" w:fill="F3F3F3"/>
          </w:tcPr>
          <w:p w14:paraId="41915F46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NewRomanPS-BoldMT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très rare (&lt;1/10.000)</w:t>
            </w:r>
          </w:p>
        </w:tc>
        <w:tc>
          <w:tcPr>
            <w:tcW w:w="2444" w:type="dxa"/>
            <w:shd w:val="clear" w:color="auto" w:fill="F3F3F3"/>
          </w:tcPr>
          <w:p w14:paraId="0100C4C5" w14:textId="0D6BB729" w:rsidR="002038C0" w:rsidRPr="00AB67EE" w:rsidRDefault="002378E7" w:rsidP="00B733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>
              <w:rPr>
                <w:rFonts w:ascii="Verdana" w:hAnsi="Verdana" w:cs="Tahoma"/>
                <w:sz w:val="18"/>
                <w:szCs w:val="18"/>
                <w:lang w:val="fr-BE"/>
              </w:rPr>
              <w:t>Fréquence</w:t>
            </w:r>
            <w:r w:rsidR="00CB2B74"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 indéterminée</w:t>
            </w:r>
          </w:p>
        </w:tc>
      </w:tr>
      <w:tr w:rsidR="002038C0" w:rsidRPr="00844373" w14:paraId="7661CE60" w14:textId="77777777" w:rsidTr="002378E7">
        <w:tc>
          <w:tcPr>
            <w:tcW w:w="2444" w:type="dxa"/>
          </w:tcPr>
          <w:p w14:paraId="522F276E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Troubles </w:t>
            </w:r>
            <w:r w:rsidR="00CB2B74"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hématologiques 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et du système lymphatique</w:t>
            </w:r>
          </w:p>
        </w:tc>
        <w:tc>
          <w:tcPr>
            <w:tcW w:w="2444" w:type="dxa"/>
          </w:tcPr>
          <w:p w14:paraId="76088841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</w:p>
        </w:tc>
        <w:tc>
          <w:tcPr>
            <w:tcW w:w="2444" w:type="dxa"/>
          </w:tcPr>
          <w:p w14:paraId="40600D50" w14:textId="1BC88387" w:rsidR="002038C0" w:rsidRPr="00AB67EE" w:rsidRDefault="0092796D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proofErr w:type="spellStart"/>
            <w:r w:rsidRPr="00844373">
              <w:rPr>
                <w:rFonts w:ascii="Verdana" w:hAnsi="Verdana" w:cs="Tahoma"/>
                <w:sz w:val="18"/>
                <w:szCs w:val="18"/>
                <w:lang w:val="fr-BE"/>
              </w:rPr>
              <w:t>t</w:t>
            </w:r>
            <w:r w:rsidR="002038C0" w:rsidRPr="00AB67EE">
              <w:rPr>
                <w:rFonts w:ascii="Verdana" w:hAnsi="Verdana" w:cs="Tahoma"/>
                <w:sz w:val="18"/>
                <w:szCs w:val="18"/>
                <w:lang w:val="fr-BE"/>
              </w:rPr>
              <w:t>hrombocytopénie</w:t>
            </w:r>
            <w:proofErr w:type="spellEnd"/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740EC8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1,2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="002038C0" w:rsidRPr="00AB67EE">
              <w:rPr>
                <w:rFonts w:ascii="Verdana" w:hAnsi="Verdana" w:cs="Tahoma"/>
                <w:sz w:val="18"/>
                <w:szCs w:val="18"/>
                <w:lang w:val="fr-BE"/>
              </w:rPr>
              <w:t>, leucopénie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740EC8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1,2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="002038C0"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, </w:t>
            </w:r>
            <w:proofErr w:type="spellStart"/>
            <w:r w:rsidR="002038C0" w:rsidRPr="00AB67EE">
              <w:rPr>
                <w:rFonts w:ascii="Verdana" w:hAnsi="Verdana" w:cs="Tahoma"/>
                <w:sz w:val="18"/>
                <w:szCs w:val="18"/>
                <w:lang w:val="fr-BE"/>
              </w:rPr>
              <w:t>pancytopénie</w:t>
            </w:r>
            <w:proofErr w:type="spellEnd"/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740EC8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1,2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="002038C0" w:rsidRPr="00AB67EE">
              <w:rPr>
                <w:rFonts w:ascii="Verdana" w:hAnsi="Verdana" w:cs="Tahoma"/>
                <w:sz w:val="18"/>
                <w:szCs w:val="18"/>
                <w:lang w:val="fr-BE"/>
              </w:rPr>
              <w:t>, neutropénie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740EC8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1,2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Pr="00844373">
              <w:rPr>
                <w:rFonts w:ascii="Verdana" w:hAnsi="Verdana" w:cs="Tahoma"/>
                <w:sz w:val="18"/>
                <w:szCs w:val="18"/>
                <w:lang w:val="fr-BE"/>
              </w:rPr>
              <w:t>,</w:t>
            </w:r>
          </w:p>
          <w:p w14:paraId="3FEB9EE3" w14:textId="766A855E" w:rsidR="002038C0" w:rsidRPr="00AB67EE" w:rsidRDefault="0092796D" w:rsidP="00782F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844373">
              <w:rPr>
                <w:rFonts w:ascii="Verdana" w:hAnsi="Verdana" w:cs="Tahoma"/>
                <w:sz w:val="18"/>
                <w:szCs w:val="18"/>
                <w:lang w:val="fr-BE"/>
              </w:rPr>
              <w:t>a</w:t>
            </w:r>
            <w:r w:rsidR="002038C0" w:rsidRPr="00AB67EE">
              <w:rPr>
                <w:rFonts w:ascii="Verdana" w:hAnsi="Verdana" w:cs="Tahoma"/>
                <w:sz w:val="18"/>
                <w:szCs w:val="18"/>
                <w:lang w:val="fr-BE"/>
              </w:rPr>
              <w:t>némie hémolytique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740EC8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="002038C0" w:rsidRPr="00AB67EE">
              <w:rPr>
                <w:rFonts w:ascii="Verdana" w:hAnsi="Verdana" w:cs="Tahoma"/>
                <w:sz w:val="18"/>
                <w:szCs w:val="18"/>
                <w:lang w:val="fr-BE"/>
              </w:rPr>
              <w:t>, agranulocytose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657970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1,2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  <w:tc>
          <w:tcPr>
            <w:tcW w:w="2444" w:type="dxa"/>
          </w:tcPr>
          <w:p w14:paraId="4D3B48B9" w14:textId="69DC96CC" w:rsidR="002038C0" w:rsidRPr="00AB67EE" w:rsidRDefault="002038C0" w:rsidP="00B733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highlight w:val="yellow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anémie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740EC8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</w:tr>
      <w:tr w:rsidR="002038C0" w:rsidRPr="00844373" w14:paraId="606A5CF9" w14:textId="77777777" w:rsidTr="002378E7">
        <w:tc>
          <w:tcPr>
            <w:tcW w:w="2444" w:type="dxa"/>
          </w:tcPr>
          <w:p w14:paraId="21372BAB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Troubles du système immunitaire</w:t>
            </w:r>
          </w:p>
        </w:tc>
        <w:tc>
          <w:tcPr>
            <w:tcW w:w="2444" w:type="dxa"/>
          </w:tcPr>
          <w:p w14:paraId="5C92FD16" w14:textId="3E5A216A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réactions allergiques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740EC8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1,2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  <w:tc>
          <w:tcPr>
            <w:tcW w:w="2444" w:type="dxa"/>
          </w:tcPr>
          <w:p w14:paraId="0E041727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réactions allergiques nécessitant un arrêt du traitement</w:t>
            </w:r>
          </w:p>
        </w:tc>
        <w:tc>
          <w:tcPr>
            <w:tcW w:w="2444" w:type="dxa"/>
          </w:tcPr>
          <w:p w14:paraId="4DF8E4B2" w14:textId="21D45564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choc anaphylactique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740EC8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1,2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</w:tr>
      <w:tr w:rsidR="002038C0" w:rsidRPr="00844373" w14:paraId="76F7D4E4" w14:textId="77777777" w:rsidTr="002378E7">
        <w:tc>
          <w:tcPr>
            <w:tcW w:w="2444" w:type="dxa"/>
          </w:tcPr>
          <w:p w14:paraId="2AE4F210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Troubles du système nerveux</w:t>
            </w:r>
          </w:p>
        </w:tc>
        <w:tc>
          <w:tcPr>
            <w:tcW w:w="2444" w:type="dxa"/>
          </w:tcPr>
          <w:p w14:paraId="2C271845" w14:textId="6F8B513F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mal de tête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670434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  <w:tc>
          <w:tcPr>
            <w:tcW w:w="2444" w:type="dxa"/>
          </w:tcPr>
          <w:p w14:paraId="72DADB57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</w:p>
        </w:tc>
        <w:tc>
          <w:tcPr>
            <w:tcW w:w="2444" w:type="dxa"/>
          </w:tcPr>
          <w:p w14:paraId="511D955C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</w:p>
        </w:tc>
      </w:tr>
      <w:tr w:rsidR="002038C0" w:rsidRPr="00844373" w14:paraId="5D1D02F0" w14:textId="77777777" w:rsidTr="002378E7">
        <w:tc>
          <w:tcPr>
            <w:tcW w:w="2444" w:type="dxa"/>
          </w:tcPr>
          <w:p w14:paraId="20F29268" w14:textId="57E1BBF7" w:rsidR="002038C0" w:rsidRPr="00AB67EE" w:rsidRDefault="002378E7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>
              <w:rPr>
                <w:rFonts w:ascii="Verdana" w:hAnsi="Verdana" w:cs="Tahoma"/>
                <w:sz w:val="18"/>
                <w:szCs w:val="18"/>
                <w:lang w:val="fr-BE"/>
              </w:rPr>
              <w:t>Troubles</w:t>
            </w:r>
            <w:r w:rsidR="00622FAE" w:rsidRPr="00AB67EE">
              <w:rPr>
                <w:rFonts w:ascii="Verdana" w:hAnsi="Verdana"/>
                <w:sz w:val="18"/>
                <w:szCs w:val="18"/>
                <w:lang w:val="fr-BE"/>
              </w:rPr>
              <w:t xml:space="preserve"> gastro-intestinaux</w:t>
            </w:r>
          </w:p>
        </w:tc>
        <w:tc>
          <w:tcPr>
            <w:tcW w:w="2444" w:type="dxa"/>
          </w:tcPr>
          <w:p w14:paraId="14E75FEC" w14:textId="6CF3F4E5" w:rsidR="002038C0" w:rsidRPr="00AB67EE" w:rsidRDefault="004E711A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douleur abdominale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3C175B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="002038C0" w:rsidRPr="00AB67EE">
              <w:rPr>
                <w:rFonts w:ascii="Verdana" w:hAnsi="Verdana" w:cs="Tahoma"/>
                <w:sz w:val="18"/>
                <w:szCs w:val="18"/>
                <w:lang w:val="fr-BE"/>
              </w:rPr>
              <w:t>, diarrhée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3C175B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="002038C0" w:rsidRPr="00AB67EE">
              <w:rPr>
                <w:rFonts w:ascii="Verdana" w:hAnsi="Verdana" w:cs="Tahoma"/>
                <w:sz w:val="18"/>
                <w:szCs w:val="18"/>
                <w:lang w:val="fr-BE"/>
              </w:rPr>
              <w:t>, nausée</w:t>
            </w:r>
            <w:r w:rsidR="00F57BD2" w:rsidRPr="00AB67EE">
              <w:rPr>
                <w:rFonts w:ascii="Verdana" w:hAnsi="Verdana" w:cs="Tahoma"/>
                <w:sz w:val="18"/>
                <w:szCs w:val="18"/>
                <w:lang w:val="fr-BE"/>
              </w:rPr>
              <w:t>s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3C175B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="002038C0" w:rsidRPr="00AB67EE">
              <w:rPr>
                <w:rFonts w:ascii="Verdana" w:hAnsi="Verdana" w:cs="Tahoma"/>
                <w:sz w:val="18"/>
                <w:szCs w:val="18"/>
                <w:lang w:val="fr-BE"/>
              </w:rPr>
              <w:t>, vomissements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643EAE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="0092796D" w:rsidRPr="00844373">
              <w:rPr>
                <w:rFonts w:ascii="Verdana" w:hAnsi="Verdana" w:cs="Tahoma"/>
                <w:sz w:val="18"/>
                <w:szCs w:val="18"/>
                <w:lang w:val="fr-BE"/>
              </w:rPr>
              <w:t>,</w:t>
            </w:r>
          </w:p>
          <w:p w14:paraId="0B57A6CC" w14:textId="09F4CE39" w:rsidR="00643EAE" w:rsidRPr="00AB67EE" w:rsidRDefault="00643EAE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constipation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  <w:tc>
          <w:tcPr>
            <w:tcW w:w="2444" w:type="dxa"/>
          </w:tcPr>
          <w:p w14:paraId="3CA68D37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</w:p>
        </w:tc>
        <w:tc>
          <w:tcPr>
            <w:tcW w:w="2444" w:type="dxa"/>
          </w:tcPr>
          <w:p w14:paraId="5C845E28" w14:textId="77777777" w:rsidR="002038C0" w:rsidRPr="00AB67EE" w:rsidRDefault="002038C0" w:rsidP="00B733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</w:p>
        </w:tc>
      </w:tr>
      <w:tr w:rsidR="002038C0" w:rsidRPr="00844373" w14:paraId="1FF12840" w14:textId="77777777" w:rsidTr="002378E7">
        <w:tc>
          <w:tcPr>
            <w:tcW w:w="2444" w:type="dxa"/>
          </w:tcPr>
          <w:p w14:paraId="3D06AC4C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Troubles hépatobiliaires </w:t>
            </w:r>
          </w:p>
        </w:tc>
        <w:tc>
          <w:tcPr>
            <w:tcW w:w="2444" w:type="dxa"/>
          </w:tcPr>
          <w:p w14:paraId="440CA3CB" w14:textId="084CA841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troubles de la fonction hépatique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9F4A95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, insuffisance hépatique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9F4A95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, nécrose hépatique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9F4A95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, ictère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9F4A95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  <w:tc>
          <w:tcPr>
            <w:tcW w:w="2444" w:type="dxa"/>
          </w:tcPr>
          <w:p w14:paraId="33F487D3" w14:textId="739DAA26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proofErr w:type="spellStart"/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hépatotoxicité</w:t>
            </w:r>
            <w:proofErr w:type="spellEnd"/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9F4A95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  <w:tc>
          <w:tcPr>
            <w:tcW w:w="2444" w:type="dxa"/>
          </w:tcPr>
          <w:p w14:paraId="470B84C4" w14:textId="2293F96B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hépatite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9F4A95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</w:tr>
      <w:tr w:rsidR="002038C0" w:rsidRPr="00844373" w14:paraId="0C959DB6" w14:textId="77777777" w:rsidTr="002378E7">
        <w:tc>
          <w:tcPr>
            <w:tcW w:w="2444" w:type="dxa"/>
          </w:tcPr>
          <w:p w14:paraId="01A1D8F3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Affections </w:t>
            </w:r>
            <w:r w:rsidR="00622FAE"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de la peau 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et </w:t>
            </w:r>
            <w:r w:rsidR="00622FAE"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du tissu 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sous-cutané</w:t>
            </w:r>
          </w:p>
        </w:tc>
        <w:tc>
          <w:tcPr>
            <w:tcW w:w="2444" w:type="dxa"/>
          </w:tcPr>
          <w:p w14:paraId="390C9082" w14:textId="570C0F1A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prurit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FB79F2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, éruptions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FB79F2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1,2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, transpiration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FB79F2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1,2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="002378E7">
              <w:rPr>
                <w:rFonts w:ascii="Verdana" w:hAnsi="Verdana" w:cs="Tahoma"/>
                <w:sz w:val="18"/>
                <w:szCs w:val="18"/>
                <w:lang w:val="fr-BE"/>
              </w:rPr>
              <w:t>,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angio</w:t>
            </w:r>
            <w:proofErr w:type="spellEnd"/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-œdème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FB79F2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1,2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, urticaire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FB79F2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1,2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  <w:tc>
          <w:tcPr>
            <w:tcW w:w="2444" w:type="dxa"/>
          </w:tcPr>
          <w:p w14:paraId="4403B587" w14:textId="04AC2EEB" w:rsidR="002038C0" w:rsidRPr="00AB67EE" w:rsidRDefault="002B3CE3" w:rsidP="002378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De très rares cas de réactions cutanées sévères ont été signalés.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0B236C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10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  <w:tc>
          <w:tcPr>
            <w:tcW w:w="2444" w:type="dxa"/>
          </w:tcPr>
          <w:p w14:paraId="5D57CE63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</w:p>
        </w:tc>
      </w:tr>
      <w:tr w:rsidR="002038C0" w:rsidRPr="00844373" w14:paraId="6E0BAA60" w14:textId="77777777" w:rsidTr="002378E7">
        <w:tc>
          <w:tcPr>
            <w:tcW w:w="2444" w:type="dxa"/>
          </w:tcPr>
          <w:p w14:paraId="62CFF840" w14:textId="77777777" w:rsidR="002038C0" w:rsidRPr="00AB67EE" w:rsidRDefault="002038C0" w:rsidP="006947BE">
            <w:pPr>
              <w:tabs>
                <w:tab w:val="left" w:pos="2977"/>
                <w:tab w:val="left" w:pos="3402"/>
                <w:tab w:val="left" w:pos="3969"/>
              </w:tabs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Affections </w:t>
            </w:r>
            <w:r w:rsidR="0056366C"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du rein 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et </w:t>
            </w:r>
            <w:r w:rsidR="0056366C" w:rsidRPr="00AB67EE">
              <w:rPr>
                <w:rFonts w:ascii="Verdana" w:hAnsi="Verdana" w:cs="Tahoma"/>
                <w:sz w:val="18"/>
                <w:szCs w:val="18"/>
                <w:lang w:val="fr-BE"/>
              </w:rPr>
              <w:t xml:space="preserve">des voies 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urinaires</w:t>
            </w:r>
          </w:p>
        </w:tc>
        <w:tc>
          <w:tcPr>
            <w:tcW w:w="2444" w:type="dxa"/>
          </w:tcPr>
          <w:p w14:paraId="5F73A4BC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</w:p>
        </w:tc>
        <w:tc>
          <w:tcPr>
            <w:tcW w:w="2444" w:type="dxa"/>
          </w:tcPr>
          <w:p w14:paraId="7283B94E" w14:textId="547EDFB1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pyurie stérile (urine trouble)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F92CCD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  <w:tc>
          <w:tcPr>
            <w:tcW w:w="2444" w:type="dxa"/>
          </w:tcPr>
          <w:p w14:paraId="497D7C05" w14:textId="4E6F6574" w:rsidR="00F92CCD" w:rsidRPr="00AB67EE" w:rsidRDefault="00F92CCD" w:rsidP="00B733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 w:bidi="en-US"/>
              </w:rPr>
              <w:t>néphropathies (interstitielle néphrite, nécrose tubulaire) suite à l’utilisation prolongée de fortes doses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9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</w:tr>
      <w:tr w:rsidR="002038C0" w:rsidRPr="00844373" w14:paraId="2292D6C1" w14:textId="77777777" w:rsidTr="002378E7">
        <w:tc>
          <w:tcPr>
            <w:tcW w:w="2444" w:type="dxa"/>
          </w:tcPr>
          <w:p w14:paraId="59F2B4F7" w14:textId="32D0976F" w:rsidR="002038C0" w:rsidRPr="00AB67EE" w:rsidRDefault="002038C0" w:rsidP="002378E7">
            <w:pPr>
              <w:tabs>
                <w:tab w:val="left" w:pos="2977"/>
                <w:tab w:val="left" w:pos="3402"/>
                <w:tab w:val="left" w:pos="3969"/>
              </w:tabs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Troubles généraux et ano</w:t>
            </w:r>
            <w:r w:rsidR="002378E7">
              <w:rPr>
                <w:rFonts w:ascii="Verdana" w:hAnsi="Verdana" w:cs="Tahoma"/>
                <w:sz w:val="18"/>
                <w:szCs w:val="18"/>
                <w:lang w:val="fr-BE"/>
              </w:rPr>
              <w:t>malies au site d’administration</w:t>
            </w:r>
          </w:p>
        </w:tc>
        <w:tc>
          <w:tcPr>
            <w:tcW w:w="2444" w:type="dxa"/>
          </w:tcPr>
          <w:p w14:paraId="4F155487" w14:textId="21E0F6F9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étourdissements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1C7F3D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8,2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, malaise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[</w:t>
            </w:r>
            <w:r w:rsidR="001C7F3D" w:rsidRPr="00AB67EE">
              <w:rPr>
                <w:rFonts w:ascii="Verdana" w:hAnsi="Verdana" w:cs="Tahoma"/>
                <w:sz w:val="18"/>
                <w:szCs w:val="18"/>
                <w:vertAlign w:val="superscript"/>
                <w:lang w:val="fr-BE" w:bidi="en-US"/>
              </w:rPr>
              <w:t>9</w:t>
            </w:r>
            <w:r w:rsidR="00745F73" w:rsidRPr="00844373">
              <w:rPr>
                <w:rFonts w:ascii="Verdana" w:hAnsi="Verdana" w:cs="Tahoma"/>
                <w:sz w:val="18"/>
                <w:szCs w:val="18"/>
                <w:vertAlign w:val="superscript"/>
                <w:lang w:val="fr-BE"/>
              </w:rPr>
              <w:t>]</w:t>
            </w:r>
          </w:p>
        </w:tc>
        <w:tc>
          <w:tcPr>
            <w:tcW w:w="2444" w:type="dxa"/>
          </w:tcPr>
          <w:p w14:paraId="00588EFF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</w:p>
        </w:tc>
        <w:tc>
          <w:tcPr>
            <w:tcW w:w="2444" w:type="dxa"/>
          </w:tcPr>
          <w:p w14:paraId="607278D8" w14:textId="77777777" w:rsidR="002038C0" w:rsidRPr="00AB67EE" w:rsidRDefault="002038C0" w:rsidP="00B733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</w:p>
        </w:tc>
      </w:tr>
      <w:tr w:rsidR="002038C0" w:rsidRPr="00844373" w14:paraId="0E353CFC" w14:textId="77777777" w:rsidTr="002378E7">
        <w:tc>
          <w:tcPr>
            <w:tcW w:w="2444" w:type="dxa"/>
          </w:tcPr>
          <w:p w14:paraId="76457BA2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Lésions, intoxications et complications procédur</w:t>
            </w:r>
            <w:r w:rsidR="000B1BF0" w:rsidRPr="00AB67EE">
              <w:rPr>
                <w:rFonts w:ascii="Verdana" w:hAnsi="Verdana" w:cs="Tahoma"/>
                <w:sz w:val="18"/>
                <w:szCs w:val="18"/>
                <w:lang w:val="fr-BE"/>
              </w:rPr>
              <w:t>al</w:t>
            </w: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es</w:t>
            </w:r>
          </w:p>
        </w:tc>
        <w:tc>
          <w:tcPr>
            <w:tcW w:w="2444" w:type="dxa"/>
          </w:tcPr>
          <w:p w14:paraId="62A4E7AA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  <w:r w:rsidRPr="00AB67EE">
              <w:rPr>
                <w:rFonts w:ascii="Verdana" w:hAnsi="Verdana" w:cs="Tahoma"/>
                <w:sz w:val="18"/>
                <w:szCs w:val="18"/>
                <w:lang w:val="fr-BE"/>
              </w:rPr>
              <w:t>surdosage et intoxication</w:t>
            </w:r>
          </w:p>
        </w:tc>
        <w:tc>
          <w:tcPr>
            <w:tcW w:w="2444" w:type="dxa"/>
          </w:tcPr>
          <w:p w14:paraId="6B5861A9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</w:p>
        </w:tc>
        <w:tc>
          <w:tcPr>
            <w:tcW w:w="2444" w:type="dxa"/>
          </w:tcPr>
          <w:p w14:paraId="38A788BB" w14:textId="77777777" w:rsidR="002038C0" w:rsidRPr="00AB67EE" w:rsidRDefault="002038C0" w:rsidP="006947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fr-BE"/>
              </w:rPr>
            </w:pPr>
          </w:p>
        </w:tc>
      </w:tr>
    </w:tbl>
    <w:p w14:paraId="36C58515" w14:textId="77777777" w:rsidR="00ED070C" w:rsidRPr="00AB67EE" w:rsidRDefault="00ED070C" w:rsidP="00AB67EE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fr-BE"/>
        </w:rPr>
      </w:pPr>
    </w:p>
    <w:p w14:paraId="5AFB6C36" w14:textId="1AE72137" w:rsidR="002038C0" w:rsidRPr="00AB67EE" w:rsidRDefault="002038C0" w:rsidP="00AB67EE">
      <w:pPr>
        <w:tabs>
          <w:tab w:val="left" w:pos="2977"/>
          <w:tab w:val="left" w:pos="3402"/>
          <w:tab w:val="left" w:pos="3969"/>
        </w:tabs>
        <w:rPr>
          <w:rFonts w:ascii="Verdana" w:hAnsi="Verdana"/>
          <w:sz w:val="18"/>
          <w:szCs w:val="18"/>
          <w:lang w:val="fr-BE"/>
        </w:rPr>
      </w:pPr>
      <w:r w:rsidRPr="00AB67EE">
        <w:rPr>
          <w:rFonts w:ascii="Verdana" w:hAnsi="Verdana" w:cs="Tahoma"/>
          <w:b/>
          <w:sz w:val="18"/>
          <w:szCs w:val="18"/>
          <w:lang w:val="fr-BE"/>
        </w:rPr>
        <w:t>4.9 Surdosage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[1,2,3,5]</w:t>
      </w:r>
    </w:p>
    <w:p w14:paraId="7A732CC7" w14:textId="659A6C61" w:rsidR="002038C0" w:rsidRPr="00AB67EE" w:rsidRDefault="002038C0" w:rsidP="00AB67EE">
      <w:pPr>
        <w:tabs>
          <w:tab w:val="left" w:pos="720"/>
        </w:tabs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 xml:space="preserve">En cas de surdosage, il y a un risque de toxicité hépatique aiguë, en particulier chez les sujets âgés, les jeunes enfants, </w:t>
      </w:r>
      <w:r w:rsidR="004A53C2" w:rsidRPr="00AB67EE">
        <w:rPr>
          <w:rFonts w:ascii="Verdana" w:hAnsi="Verdana" w:cs="Tahoma"/>
          <w:sz w:val="18"/>
          <w:szCs w:val="18"/>
          <w:lang w:val="fr-BE"/>
        </w:rPr>
        <w:t xml:space="preserve">en cas </w:t>
      </w:r>
      <w:r w:rsidRPr="00AB67EE">
        <w:rPr>
          <w:rFonts w:ascii="Verdana" w:hAnsi="Verdana" w:cs="Tahoma"/>
          <w:sz w:val="18"/>
          <w:szCs w:val="18"/>
          <w:lang w:val="fr-BE"/>
        </w:rPr>
        <w:t xml:space="preserve">d’insuffisance hépatique ou rénale, d’alcoolisme chronique, de malnutrition chronique, en cas d’utilisation d’inducteurs enzymatiques et chez les adultes </w:t>
      </w:r>
      <w:r w:rsidR="006F1254" w:rsidRPr="00844373">
        <w:rPr>
          <w:rFonts w:ascii="Verdana" w:hAnsi="Verdana" w:cs="Tahoma"/>
          <w:sz w:val="18"/>
          <w:szCs w:val="18"/>
          <w:lang w:val="fr-BE"/>
        </w:rPr>
        <w:t>de moins de 5</w:t>
      </w:r>
      <w:r w:rsidRPr="00AB67EE">
        <w:rPr>
          <w:rFonts w:ascii="Verdana" w:hAnsi="Verdana" w:cs="Tahoma"/>
          <w:sz w:val="18"/>
          <w:szCs w:val="18"/>
          <w:lang w:val="fr-BE"/>
        </w:rPr>
        <w:t>0 kg.</w:t>
      </w:r>
    </w:p>
    <w:p w14:paraId="2F89D457" w14:textId="77777777" w:rsidR="002038C0" w:rsidRPr="00AB67EE" w:rsidRDefault="002038C0" w:rsidP="00AB67EE">
      <w:pPr>
        <w:tabs>
          <w:tab w:val="left" w:pos="284"/>
        </w:tabs>
        <w:rPr>
          <w:rFonts w:ascii="Verdana" w:hAnsi="Verdana" w:cs="Tahoma"/>
          <w:sz w:val="18"/>
          <w:szCs w:val="18"/>
          <w:lang w:val="fr-BE"/>
        </w:rPr>
      </w:pPr>
    </w:p>
    <w:p w14:paraId="55A3E5CC" w14:textId="22585BCD" w:rsidR="002038C0" w:rsidRPr="00AB67EE" w:rsidRDefault="002038C0" w:rsidP="00AB67EE">
      <w:pPr>
        <w:tabs>
          <w:tab w:val="left" w:pos="720"/>
        </w:tabs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>&lt;</w:t>
      </w:r>
      <w:r w:rsidR="00A035B4" w:rsidRPr="00844373">
        <w:rPr>
          <w:rFonts w:ascii="Verdana" w:hAnsi="Verdana" w:cs="Tahoma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Tahoma"/>
          <w:sz w:val="18"/>
          <w:szCs w:val="18"/>
          <w:lang w:val="fr-BE"/>
        </w:rPr>
        <w:t xml:space="preserve">Optionnel : Patients on long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term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treatment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with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carbamazepine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,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phenobarbital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,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phenytoin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,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primidone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,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rifampicin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, St John’s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Wort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 or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other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drugs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that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induce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liver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 enzymes,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also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 have a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higher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 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risk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 for overdose.</w:t>
      </w:r>
      <w:r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[7]</w:t>
      </w:r>
      <w:r w:rsidRPr="00AB67EE">
        <w:rPr>
          <w:rFonts w:ascii="Verdana" w:hAnsi="Verdana" w:cs="Tahoma"/>
          <w:sz w:val="18"/>
          <w:szCs w:val="18"/>
          <w:lang w:val="fr-BE"/>
        </w:rPr>
        <w:t xml:space="preserve"> &gt;</w:t>
      </w:r>
    </w:p>
    <w:p w14:paraId="0BB394EF" w14:textId="77777777" w:rsidR="002038C0" w:rsidRPr="00AB67EE" w:rsidRDefault="002038C0" w:rsidP="00AB67EE">
      <w:pPr>
        <w:tabs>
          <w:tab w:val="left" w:pos="720"/>
        </w:tabs>
        <w:rPr>
          <w:rFonts w:ascii="Verdana" w:hAnsi="Verdana" w:cs="Tahoma"/>
          <w:sz w:val="18"/>
          <w:szCs w:val="18"/>
          <w:lang w:val="fr-BE"/>
        </w:rPr>
      </w:pPr>
    </w:p>
    <w:p w14:paraId="036555CB" w14:textId="77777777" w:rsidR="002038C0" w:rsidRPr="00AB67EE" w:rsidRDefault="002038C0" w:rsidP="00AB67EE">
      <w:pPr>
        <w:tabs>
          <w:tab w:val="left" w:pos="720"/>
        </w:tabs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>L’</w:t>
      </w:r>
      <w:proofErr w:type="spellStart"/>
      <w:r w:rsidRPr="00AB67EE">
        <w:rPr>
          <w:rFonts w:ascii="Verdana" w:hAnsi="Verdana" w:cs="Tahoma"/>
          <w:sz w:val="18"/>
          <w:szCs w:val="18"/>
          <w:lang w:val="fr-BE"/>
        </w:rPr>
        <w:t>hépatotoxicité</w:t>
      </w:r>
      <w:proofErr w:type="spellEnd"/>
      <w:r w:rsidRPr="00AB67EE">
        <w:rPr>
          <w:rFonts w:ascii="Verdana" w:hAnsi="Verdana" w:cs="Tahoma"/>
          <w:sz w:val="18"/>
          <w:szCs w:val="18"/>
          <w:lang w:val="fr-BE"/>
        </w:rPr>
        <w:t xml:space="preserve"> ne survient souvent que 24 à 48 heures après l'ingestion. Un surdosage peut être fatal. En cas de surdosage, </w:t>
      </w:r>
      <w:r w:rsidR="004A53C2" w:rsidRPr="00AB67EE">
        <w:rPr>
          <w:rFonts w:ascii="Verdana" w:hAnsi="Verdana" w:cs="Tahoma"/>
          <w:sz w:val="18"/>
          <w:szCs w:val="18"/>
          <w:lang w:val="fr-BE"/>
        </w:rPr>
        <w:t xml:space="preserve">il y a lieu de </w:t>
      </w:r>
      <w:r w:rsidRPr="00AB67EE">
        <w:rPr>
          <w:rFonts w:ascii="Verdana" w:hAnsi="Verdana" w:cs="Tahoma"/>
          <w:sz w:val="18"/>
          <w:szCs w:val="18"/>
          <w:lang w:val="fr-BE"/>
        </w:rPr>
        <w:t>consulter immédiatement un médecin, même</w:t>
      </w:r>
      <w:r w:rsidR="004A53C2" w:rsidRPr="00AB67EE">
        <w:rPr>
          <w:rFonts w:ascii="Verdana" w:hAnsi="Verdana" w:cs="Tahoma"/>
          <w:sz w:val="18"/>
          <w:szCs w:val="18"/>
          <w:lang w:val="fr-BE"/>
        </w:rPr>
        <w:t xml:space="preserve"> en l’absence</w:t>
      </w:r>
      <w:r w:rsidRPr="00AB67EE">
        <w:rPr>
          <w:rFonts w:ascii="Verdana" w:hAnsi="Verdana" w:cs="Tahoma"/>
          <w:sz w:val="18"/>
          <w:szCs w:val="18"/>
          <w:lang w:val="fr-BE"/>
        </w:rPr>
        <w:t xml:space="preserve"> de symptômes.</w:t>
      </w:r>
    </w:p>
    <w:p w14:paraId="42B09EA6" w14:textId="0FBFB435" w:rsidR="002038C0" w:rsidRPr="00AB67EE" w:rsidRDefault="002038C0" w:rsidP="00AB67EE">
      <w:pPr>
        <w:tabs>
          <w:tab w:val="left" w:pos="720"/>
        </w:tabs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b/>
          <w:bCs/>
          <w:sz w:val="18"/>
          <w:szCs w:val="18"/>
          <w:lang w:val="fr-BE"/>
        </w:rPr>
        <w:t>Symptômes</w:t>
      </w:r>
    </w:p>
    <w:p w14:paraId="0CC3319B" w14:textId="319FB42B" w:rsidR="002038C0" w:rsidRPr="00AB67EE" w:rsidRDefault="002038C0" w:rsidP="00AB67EE">
      <w:pPr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>Nausée</w:t>
      </w:r>
      <w:r w:rsidR="00F57BD2" w:rsidRPr="00AB67EE">
        <w:rPr>
          <w:rFonts w:ascii="Verdana" w:hAnsi="Verdana" w:cs="Tahoma"/>
          <w:sz w:val="18"/>
          <w:szCs w:val="18"/>
          <w:lang w:val="fr-BE"/>
        </w:rPr>
        <w:t>s</w:t>
      </w:r>
      <w:r w:rsidRPr="00AB67EE">
        <w:rPr>
          <w:rFonts w:ascii="Verdana" w:hAnsi="Verdana" w:cs="Tahoma"/>
          <w:sz w:val="18"/>
          <w:szCs w:val="18"/>
          <w:lang w:val="fr-BE"/>
        </w:rPr>
        <w:t xml:space="preserve">, vomissements, anorexie, pâleur, </w:t>
      </w:r>
      <w:r w:rsidR="00160F68" w:rsidRPr="00AB67EE">
        <w:rPr>
          <w:rFonts w:ascii="Verdana" w:hAnsi="Verdana" w:cs="Tahoma"/>
          <w:sz w:val="18"/>
          <w:szCs w:val="18"/>
          <w:lang w:val="fr-BE"/>
        </w:rPr>
        <w:t xml:space="preserve">douleurs abdominales </w:t>
      </w:r>
      <w:r w:rsidRPr="00AB67EE">
        <w:rPr>
          <w:rFonts w:ascii="Verdana" w:hAnsi="Verdana" w:cs="Tahoma"/>
          <w:sz w:val="18"/>
          <w:szCs w:val="18"/>
          <w:lang w:val="fr-BE"/>
        </w:rPr>
        <w:t xml:space="preserve">apparaissent habituellement dans les </w:t>
      </w:r>
      <w:r w:rsidR="00587F7E" w:rsidRPr="00AB67EE">
        <w:rPr>
          <w:rFonts w:ascii="Verdana" w:hAnsi="Verdana" w:cs="Tahoma"/>
          <w:sz w:val="18"/>
          <w:szCs w:val="18"/>
          <w:lang w:val="fr-BE"/>
        </w:rPr>
        <w:t xml:space="preserve">24 </w:t>
      </w:r>
      <w:r w:rsidR="00364A38">
        <w:rPr>
          <w:rFonts w:ascii="Verdana" w:hAnsi="Verdana" w:cs="Tahoma"/>
          <w:sz w:val="18"/>
          <w:szCs w:val="18"/>
          <w:lang w:val="fr-BE"/>
        </w:rPr>
        <w:t>premières heures.</w:t>
      </w:r>
    </w:p>
    <w:p w14:paraId="7C757B72" w14:textId="77777777" w:rsidR="002038C0" w:rsidRPr="00AB67EE" w:rsidRDefault="002038C0" w:rsidP="00AB67EE">
      <w:pPr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 xml:space="preserve">Un surdosage </w:t>
      </w:r>
      <w:r w:rsidR="00E01A0F" w:rsidRPr="00AB67EE">
        <w:rPr>
          <w:rFonts w:ascii="Verdana" w:hAnsi="Verdana" w:cs="Tahoma"/>
          <w:sz w:val="18"/>
          <w:szCs w:val="18"/>
          <w:lang w:val="fr-BE"/>
        </w:rPr>
        <w:t xml:space="preserve">important </w:t>
      </w:r>
      <w:r w:rsidRPr="00AB67EE">
        <w:rPr>
          <w:rFonts w:ascii="Verdana" w:hAnsi="Verdana" w:cs="Tahoma"/>
          <w:sz w:val="18"/>
          <w:szCs w:val="18"/>
          <w:lang w:val="fr-BE"/>
        </w:rPr>
        <w:t xml:space="preserve">(à partir de 10 g chez les adultes et 150 mg/kg chez les enfants) entraîne une toxicité hépatique aiguë, avec cytolyse hépatique, entraînant une insuffisance hépatocellulaire, </w:t>
      </w:r>
      <w:r w:rsidR="00E01A0F" w:rsidRPr="00AB67EE">
        <w:rPr>
          <w:rFonts w:ascii="Verdana" w:hAnsi="Verdana" w:cs="Tahoma"/>
          <w:sz w:val="18"/>
          <w:szCs w:val="18"/>
          <w:lang w:val="fr-BE"/>
        </w:rPr>
        <w:t xml:space="preserve">une </w:t>
      </w:r>
      <w:r w:rsidRPr="00AB67EE">
        <w:rPr>
          <w:rFonts w:ascii="Verdana" w:hAnsi="Verdana" w:cs="Tahoma"/>
          <w:sz w:val="18"/>
          <w:szCs w:val="18"/>
          <w:lang w:val="fr-BE"/>
        </w:rPr>
        <w:t xml:space="preserve">acidose métabolique et </w:t>
      </w:r>
      <w:r w:rsidR="00E01A0F" w:rsidRPr="00AB67EE">
        <w:rPr>
          <w:rFonts w:ascii="Verdana" w:hAnsi="Verdana" w:cs="Tahoma"/>
          <w:sz w:val="18"/>
          <w:szCs w:val="18"/>
          <w:lang w:val="fr-BE"/>
        </w:rPr>
        <w:t xml:space="preserve">une </w:t>
      </w:r>
      <w:r w:rsidRPr="00AB67EE">
        <w:rPr>
          <w:rFonts w:ascii="Verdana" w:hAnsi="Verdana" w:cs="Tahoma"/>
          <w:sz w:val="18"/>
          <w:szCs w:val="18"/>
          <w:lang w:val="fr-BE"/>
        </w:rPr>
        <w:t xml:space="preserve">encéphalopathie, qui peuvent </w:t>
      </w:r>
      <w:r w:rsidR="00CC5715" w:rsidRPr="00AB67EE">
        <w:rPr>
          <w:rFonts w:ascii="Verdana" w:hAnsi="Verdana" w:cs="Tahoma"/>
          <w:sz w:val="18"/>
          <w:szCs w:val="18"/>
          <w:lang w:val="fr-BE"/>
        </w:rPr>
        <w:t xml:space="preserve">aboutir au </w:t>
      </w:r>
      <w:r w:rsidRPr="00AB67EE">
        <w:rPr>
          <w:rFonts w:ascii="Verdana" w:hAnsi="Verdana" w:cs="Tahoma"/>
          <w:sz w:val="18"/>
          <w:szCs w:val="18"/>
          <w:lang w:val="fr-BE"/>
        </w:rPr>
        <w:t xml:space="preserve">coma et </w:t>
      </w:r>
      <w:r w:rsidR="00CC5715" w:rsidRPr="00AB67EE">
        <w:rPr>
          <w:rFonts w:ascii="Verdana" w:hAnsi="Verdana" w:cs="Tahoma"/>
          <w:sz w:val="18"/>
          <w:szCs w:val="18"/>
          <w:lang w:val="fr-BE"/>
        </w:rPr>
        <w:t xml:space="preserve">à </w:t>
      </w:r>
      <w:r w:rsidRPr="00AB67EE">
        <w:rPr>
          <w:rFonts w:ascii="Verdana" w:hAnsi="Verdana" w:cs="Tahoma"/>
          <w:sz w:val="18"/>
          <w:szCs w:val="18"/>
          <w:lang w:val="fr-BE"/>
        </w:rPr>
        <w:t>la mort. Des taux accrus de transaminases hépatiques (AST, ALT), de déshydrogénase lactique et de bilirubine ont également</w:t>
      </w:r>
      <w:r w:rsidR="00F4068B" w:rsidRPr="00AB67EE">
        <w:rPr>
          <w:rFonts w:ascii="Verdana" w:hAnsi="Verdana" w:cs="Tahoma"/>
          <w:sz w:val="18"/>
          <w:szCs w:val="18"/>
          <w:lang w:val="fr-BE"/>
        </w:rPr>
        <w:t xml:space="preserve"> été observés</w:t>
      </w:r>
      <w:r w:rsidRPr="00AB67EE">
        <w:rPr>
          <w:rFonts w:ascii="Verdana" w:hAnsi="Verdana" w:cs="Tahoma"/>
          <w:sz w:val="18"/>
          <w:szCs w:val="18"/>
          <w:lang w:val="fr-BE"/>
        </w:rPr>
        <w:t xml:space="preserve">, en association avec un temps de prothrombine prolongé (12 à 48 heures après </w:t>
      </w:r>
      <w:r w:rsidR="00114EC4" w:rsidRPr="00AB67EE">
        <w:rPr>
          <w:rFonts w:ascii="Verdana" w:hAnsi="Verdana" w:cs="Tahoma"/>
          <w:sz w:val="18"/>
          <w:szCs w:val="18"/>
          <w:lang w:val="fr-BE"/>
        </w:rPr>
        <w:t>l’</w:t>
      </w:r>
      <w:r w:rsidRPr="00AB67EE">
        <w:rPr>
          <w:rFonts w:ascii="Verdana" w:hAnsi="Verdana" w:cs="Tahoma"/>
          <w:sz w:val="18"/>
          <w:szCs w:val="18"/>
          <w:lang w:val="fr-BE"/>
        </w:rPr>
        <w:t>administration).</w:t>
      </w:r>
    </w:p>
    <w:p w14:paraId="420DC391" w14:textId="77777777" w:rsidR="002038C0" w:rsidRPr="00AB67EE" w:rsidRDefault="002038C0" w:rsidP="00AB67EE">
      <w:pPr>
        <w:rPr>
          <w:rFonts w:ascii="Verdana" w:hAnsi="Verdana" w:cs="Tahoma"/>
          <w:sz w:val="18"/>
          <w:szCs w:val="18"/>
          <w:lang w:val="fr-BE"/>
        </w:rPr>
      </w:pPr>
    </w:p>
    <w:p w14:paraId="251474F5" w14:textId="77777777" w:rsidR="002038C0" w:rsidRPr="00AB67EE" w:rsidRDefault="002038C0" w:rsidP="00AB67EE">
      <w:pPr>
        <w:tabs>
          <w:tab w:val="left" w:pos="720"/>
        </w:tabs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 xml:space="preserve">Le seuil de toxicité hépatique peut être </w:t>
      </w:r>
      <w:r w:rsidR="00345CC7" w:rsidRPr="00AB67EE">
        <w:rPr>
          <w:rFonts w:ascii="Verdana" w:hAnsi="Verdana" w:cs="Tahoma"/>
          <w:sz w:val="18"/>
          <w:szCs w:val="18"/>
          <w:lang w:val="fr-BE"/>
        </w:rPr>
        <w:t xml:space="preserve">abaissé </w:t>
      </w:r>
      <w:r w:rsidRPr="00AB67EE">
        <w:rPr>
          <w:rFonts w:ascii="Verdana" w:hAnsi="Verdana" w:cs="Tahoma"/>
          <w:sz w:val="18"/>
          <w:szCs w:val="18"/>
          <w:lang w:val="fr-BE"/>
        </w:rPr>
        <w:t>en cas de présence des facteurs de risque précités.</w:t>
      </w:r>
    </w:p>
    <w:p w14:paraId="1CD7A855" w14:textId="77777777" w:rsidR="002038C0" w:rsidRPr="00AB67EE" w:rsidRDefault="002038C0" w:rsidP="00AB67EE">
      <w:pPr>
        <w:tabs>
          <w:tab w:val="left" w:pos="720"/>
        </w:tabs>
        <w:rPr>
          <w:rFonts w:ascii="Verdana" w:hAnsi="Verdana" w:cs="Tahoma"/>
          <w:b/>
          <w:bCs/>
          <w:sz w:val="18"/>
          <w:szCs w:val="18"/>
          <w:u w:val="single"/>
          <w:lang w:val="fr-BE"/>
        </w:rPr>
      </w:pPr>
    </w:p>
    <w:p w14:paraId="186189BE" w14:textId="77777777" w:rsidR="002038C0" w:rsidRDefault="002038C0" w:rsidP="00AB67EE">
      <w:pPr>
        <w:tabs>
          <w:tab w:val="left" w:pos="720"/>
        </w:tabs>
        <w:rPr>
          <w:rFonts w:ascii="Verdana" w:hAnsi="Verdana" w:cs="Tahoma"/>
          <w:b/>
          <w:bCs/>
          <w:sz w:val="18"/>
          <w:szCs w:val="18"/>
          <w:lang w:val="fr-BE"/>
        </w:rPr>
      </w:pPr>
      <w:r w:rsidRPr="00AB67EE">
        <w:rPr>
          <w:rFonts w:ascii="Verdana" w:hAnsi="Verdana" w:cs="Tahoma"/>
          <w:b/>
          <w:bCs/>
          <w:sz w:val="18"/>
          <w:szCs w:val="18"/>
          <w:lang w:val="fr-BE"/>
        </w:rPr>
        <w:t>Procédure d’urgence</w:t>
      </w:r>
    </w:p>
    <w:p w14:paraId="1E19E8B3" w14:textId="77777777" w:rsidR="00364A38" w:rsidRPr="00AB67EE" w:rsidRDefault="00364A38" w:rsidP="00AB67EE">
      <w:pPr>
        <w:tabs>
          <w:tab w:val="left" w:pos="720"/>
        </w:tabs>
        <w:rPr>
          <w:rFonts w:ascii="Verdana" w:hAnsi="Verdana" w:cs="Tahoma"/>
          <w:sz w:val="18"/>
          <w:szCs w:val="18"/>
          <w:lang w:val="fr-BE"/>
        </w:rPr>
      </w:pPr>
    </w:p>
    <w:p w14:paraId="70EDEEB9" w14:textId="78EFAF02" w:rsidR="002038C0" w:rsidRPr="00AB67EE" w:rsidRDefault="002038C0" w:rsidP="00AB67EE">
      <w:pPr>
        <w:numPr>
          <w:ilvl w:val="0"/>
          <w:numId w:val="4"/>
        </w:numPr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>hospitalisation immédiate</w:t>
      </w:r>
    </w:p>
    <w:p w14:paraId="72EC31F4" w14:textId="6300D000" w:rsidR="002038C0" w:rsidRPr="00AB67EE" w:rsidRDefault="002038C0" w:rsidP="00AB67EE">
      <w:pPr>
        <w:numPr>
          <w:ilvl w:val="0"/>
          <w:numId w:val="4"/>
        </w:numPr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>prélèvement sang</w:t>
      </w:r>
      <w:r w:rsidR="004E6666" w:rsidRPr="00AB67EE">
        <w:rPr>
          <w:rFonts w:ascii="Verdana" w:hAnsi="Verdana" w:cs="Tahoma"/>
          <w:sz w:val="18"/>
          <w:szCs w:val="18"/>
          <w:lang w:val="fr-BE"/>
        </w:rPr>
        <w:t>uin</w:t>
      </w:r>
      <w:r w:rsidRPr="00AB67EE">
        <w:rPr>
          <w:rFonts w:ascii="Verdana" w:hAnsi="Verdana" w:cs="Tahoma"/>
          <w:sz w:val="18"/>
          <w:szCs w:val="18"/>
          <w:lang w:val="fr-BE"/>
        </w:rPr>
        <w:t>, pour déterminer la concentration plasmatique initiale du paracétamol</w:t>
      </w:r>
    </w:p>
    <w:p w14:paraId="6A455C7E" w14:textId="313879F3" w:rsidR="002038C0" w:rsidRPr="00AB67EE" w:rsidRDefault="002038C0" w:rsidP="00AB67EE">
      <w:pPr>
        <w:numPr>
          <w:ilvl w:val="0"/>
          <w:numId w:val="4"/>
        </w:numPr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 xml:space="preserve">administration de l’antidote N-acétylcystéine, en intraveineuse ou par voie orale, si possible dans les </w:t>
      </w:r>
      <w:r w:rsidR="002C3A1B">
        <w:rPr>
          <w:rFonts w:ascii="Verdana" w:hAnsi="Verdana" w:cs="Tahoma"/>
          <w:sz w:val="18"/>
          <w:szCs w:val="18"/>
          <w:lang w:val="fr-BE"/>
        </w:rPr>
        <w:t>8</w:t>
      </w:r>
      <w:r w:rsidRPr="00AB67EE">
        <w:rPr>
          <w:rFonts w:ascii="Verdana" w:hAnsi="Verdana" w:cs="Tahoma"/>
          <w:sz w:val="18"/>
          <w:szCs w:val="18"/>
          <w:lang w:val="fr-BE"/>
        </w:rPr>
        <w:t xml:space="preserve"> heures après ingestion</w:t>
      </w:r>
    </w:p>
    <w:p w14:paraId="01FA3B8C" w14:textId="7443A064" w:rsidR="002038C0" w:rsidRPr="00AB67EE" w:rsidRDefault="002038C0" w:rsidP="00AB67EE">
      <w:pPr>
        <w:numPr>
          <w:ilvl w:val="0"/>
          <w:numId w:val="4"/>
        </w:numPr>
        <w:rPr>
          <w:rFonts w:ascii="Verdana" w:hAnsi="Verdana" w:cs="Tahoma"/>
          <w:sz w:val="18"/>
          <w:szCs w:val="18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 xml:space="preserve">administration de </w:t>
      </w:r>
      <w:r w:rsidR="00CB5D6E" w:rsidRPr="00AB67EE">
        <w:rPr>
          <w:rFonts w:ascii="Verdana" w:hAnsi="Verdana" w:cs="Tahoma"/>
          <w:sz w:val="18"/>
          <w:szCs w:val="18"/>
          <w:lang w:val="fr-BE"/>
        </w:rPr>
        <w:t xml:space="preserve">charbon </w:t>
      </w:r>
      <w:r w:rsidRPr="00AB67EE">
        <w:rPr>
          <w:rFonts w:ascii="Verdana" w:hAnsi="Verdana" w:cs="Tahoma"/>
          <w:sz w:val="18"/>
          <w:szCs w:val="18"/>
          <w:lang w:val="fr-BE"/>
        </w:rPr>
        <w:t>actif, si possible dans un délai d’une heure après</w:t>
      </w:r>
      <w:r w:rsidR="00413374" w:rsidRPr="00AB67EE">
        <w:rPr>
          <w:rFonts w:ascii="Verdana" w:hAnsi="Verdana" w:cs="Tahoma"/>
          <w:sz w:val="18"/>
          <w:szCs w:val="18"/>
          <w:lang w:val="fr-BE"/>
        </w:rPr>
        <w:t xml:space="preserve"> </w:t>
      </w:r>
      <w:r w:rsidRPr="00AB67EE">
        <w:rPr>
          <w:rFonts w:ascii="Verdana" w:hAnsi="Verdana" w:cs="Tahoma"/>
          <w:sz w:val="18"/>
          <w:szCs w:val="18"/>
          <w:lang w:val="fr-BE"/>
        </w:rPr>
        <w:t>l'ingestion</w:t>
      </w:r>
      <w:r w:rsidR="00364A38">
        <w:rPr>
          <w:rFonts w:ascii="Verdana" w:hAnsi="Verdana" w:cs="Tahoma"/>
          <w:sz w:val="18"/>
          <w:szCs w:val="18"/>
          <w:lang w:val="fr-BE"/>
        </w:rPr>
        <w:t> </w:t>
      </w:r>
    </w:p>
    <w:p w14:paraId="46C99710" w14:textId="31540615" w:rsidR="002038C0" w:rsidRPr="00AB67EE" w:rsidRDefault="00364A38" w:rsidP="00AB67EE">
      <w:pPr>
        <w:numPr>
          <w:ilvl w:val="0"/>
          <w:numId w:val="4"/>
        </w:numPr>
        <w:rPr>
          <w:rFonts w:ascii="Verdana" w:hAnsi="Verdana" w:cs="Tahoma"/>
          <w:sz w:val="18"/>
          <w:szCs w:val="18"/>
          <w:lang w:val="fr-BE"/>
        </w:rPr>
      </w:pPr>
      <w:r>
        <w:rPr>
          <w:rFonts w:ascii="Verdana" w:hAnsi="Verdana" w:cs="Tahoma"/>
          <w:sz w:val="18"/>
          <w:szCs w:val="18"/>
          <w:lang w:val="fr-BE"/>
        </w:rPr>
        <w:t>traitement symptomatique</w:t>
      </w:r>
    </w:p>
    <w:p w14:paraId="7EF1BCC9" w14:textId="77777777" w:rsidR="00D71498" w:rsidRPr="00844373" w:rsidRDefault="00D71498" w:rsidP="00AB67EE">
      <w:pPr>
        <w:rPr>
          <w:rFonts w:ascii="Verdana" w:hAnsi="Verdana" w:cs="Arial"/>
          <w:b/>
          <w:sz w:val="18"/>
          <w:szCs w:val="18"/>
          <w:lang w:val="fr-BE"/>
        </w:rPr>
      </w:pPr>
    </w:p>
    <w:p w14:paraId="0E443B63" w14:textId="7A729826" w:rsidR="0006169D" w:rsidRPr="00AB67EE" w:rsidRDefault="0006169D" w:rsidP="00AB67EE">
      <w:pPr>
        <w:rPr>
          <w:rFonts w:ascii="Verdana" w:hAnsi="Verdana" w:cs="Tahoma"/>
          <w:sz w:val="18"/>
          <w:szCs w:val="18"/>
          <w:vertAlign w:val="superscript"/>
          <w:lang w:val="fr-BE"/>
        </w:rPr>
      </w:pPr>
      <w:r w:rsidRPr="00AB67EE">
        <w:rPr>
          <w:rFonts w:ascii="Verdana" w:hAnsi="Verdana" w:cs="Arial"/>
          <w:b/>
          <w:sz w:val="18"/>
          <w:szCs w:val="18"/>
          <w:lang w:val="fr-BE"/>
        </w:rPr>
        <w:t>5.3 Données de sécurité préclinique</w:t>
      </w:r>
    </w:p>
    <w:p w14:paraId="5633375B" w14:textId="7F7A2F30" w:rsidR="003F492B" w:rsidRPr="00AB67EE" w:rsidRDefault="0006169D" w:rsidP="00364A38">
      <w:pPr>
        <w:rPr>
          <w:rFonts w:ascii="Verdana" w:hAnsi="Verdana" w:cs="Arial"/>
          <w:b/>
          <w:sz w:val="18"/>
          <w:szCs w:val="18"/>
          <w:u w:val="single"/>
          <w:lang w:val="fr-BE"/>
        </w:rPr>
      </w:pPr>
      <w:r w:rsidRPr="00AB67EE">
        <w:rPr>
          <w:rFonts w:ascii="Verdana" w:hAnsi="Verdana" w:cs="Tahoma"/>
          <w:sz w:val="18"/>
          <w:szCs w:val="18"/>
          <w:lang w:val="fr-BE"/>
        </w:rPr>
        <w:t>Aucune étude conventionnelle s’appuyant sur les normes actuellement admises pour évaluer la toxicité pour la reproduction et le développement n’est disponible.</w:t>
      </w:r>
      <w:r w:rsidR="0027598D" w:rsidRPr="00AB67EE">
        <w:rPr>
          <w:rFonts w:ascii="Verdana" w:hAnsi="Verdana" w:cs="Arial"/>
          <w:sz w:val="18"/>
          <w:szCs w:val="18"/>
          <w:vertAlign w:val="superscript"/>
          <w:lang w:val="fr-BE"/>
        </w:rPr>
        <w:t>[12]</w:t>
      </w:r>
    </w:p>
    <w:p w14:paraId="3A35E939" w14:textId="77777777" w:rsidR="00197950" w:rsidRDefault="00197950" w:rsidP="00AB67EE">
      <w:pPr>
        <w:tabs>
          <w:tab w:val="left" w:pos="480"/>
        </w:tabs>
        <w:rPr>
          <w:rFonts w:ascii="Verdana" w:hAnsi="Verdana" w:cs="Arial"/>
          <w:b/>
          <w:sz w:val="18"/>
          <w:szCs w:val="18"/>
          <w:lang w:val="fr-BE"/>
        </w:rPr>
      </w:pPr>
    </w:p>
    <w:p w14:paraId="44311153" w14:textId="33FC2517" w:rsidR="002038C0" w:rsidRPr="00364A38" w:rsidRDefault="002038C0" w:rsidP="00364A38">
      <w:pPr>
        <w:pStyle w:val="Lijstalinea"/>
        <w:numPr>
          <w:ilvl w:val="0"/>
          <w:numId w:val="39"/>
        </w:numPr>
        <w:tabs>
          <w:tab w:val="left" w:pos="480"/>
        </w:tabs>
        <w:rPr>
          <w:rFonts w:ascii="Verdana" w:hAnsi="Verdana" w:cs="Arial"/>
          <w:b/>
          <w:sz w:val="18"/>
          <w:szCs w:val="18"/>
          <w:lang w:val="fr-BE"/>
        </w:rPr>
      </w:pPr>
      <w:r w:rsidRPr="00364A38">
        <w:rPr>
          <w:rFonts w:ascii="Verdana" w:hAnsi="Verdana" w:cs="Arial"/>
          <w:b/>
          <w:sz w:val="18"/>
          <w:szCs w:val="18"/>
          <w:lang w:val="fr-BE"/>
        </w:rPr>
        <w:t>Notice</w:t>
      </w:r>
      <w:r w:rsidR="007643AC">
        <w:rPr>
          <w:rFonts w:ascii="Verdana" w:hAnsi="Verdana" w:cs="Arial"/>
          <w:b/>
          <w:sz w:val="18"/>
          <w:szCs w:val="18"/>
          <w:lang w:val="fr-BE"/>
        </w:rPr>
        <w:t xml:space="preserve"> pour le public</w:t>
      </w:r>
    </w:p>
    <w:p w14:paraId="6419CB7D" w14:textId="6B27B09B" w:rsidR="00C72C4F" w:rsidRPr="00844373" w:rsidRDefault="00C72C4F" w:rsidP="00AB67EE">
      <w:pPr>
        <w:widowControl w:val="0"/>
        <w:autoSpaceDE w:val="0"/>
        <w:autoSpaceDN w:val="0"/>
        <w:adjustRightInd w:val="0"/>
        <w:rPr>
          <w:rFonts w:ascii="Verdana" w:hAnsi="Verdana" w:cs="TimesNewRomanPS-BoldMT"/>
          <w:iCs/>
          <w:sz w:val="18"/>
          <w:szCs w:val="18"/>
          <w:lang w:val="fr-BE"/>
        </w:rPr>
      </w:pPr>
      <w:r w:rsidRPr="00AB67EE">
        <w:rPr>
          <w:rFonts w:ascii="Verdana" w:hAnsi="Verdana" w:cs="TimesNewRomanPS-BoldMT"/>
          <w:iCs/>
          <w:sz w:val="18"/>
          <w:szCs w:val="18"/>
          <w:lang w:val="fr-BE"/>
        </w:rPr>
        <w:t xml:space="preserve">La notice </w:t>
      </w:r>
      <w:r w:rsidR="007643AC">
        <w:rPr>
          <w:rFonts w:ascii="Verdana" w:hAnsi="Verdana" w:cs="TimesNewRomanPS-BoldMT"/>
          <w:iCs/>
          <w:sz w:val="18"/>
          <w:szCs w:val="18"/>
          <w:lang w:val="fr-BE"/>
        </w:rPr>
        <w:t xml:space="preserve">pour le public </w:t>
      </w:r>
      <w:r w:rsidRPr="00AB67EE">
        <w:rPr>
          <w:rFonts w:ascii="Verdana" w:hAnsi="Verdana" w:cs="TimesNewRomanPS-BoldMT"/>
          <w:iCs/>
          <w:sz w:val="18"/>
          <w:szCs w:val="18"/>
          <w:lang w:val="fr-BE"/>
        </w:rPr>
        <w:t xml:space="preserve">doit être </w:t>
      </w:r>
      <w:r w:rsidR="00197950">
        <w:rPr>
          <w:rFonts w:ascii="Verdana" w:hAnsi="Verdana" w:cs="TimesNewRomanPS-BoldMT"/>
          <w:iCs/>
          <w:sz w:val="18"/>
          <w:szCs w:val="18"/>
          <w:lang w:val="fr-BE"/>
        </w:rPr>
        <w:t>alignée</w:t>
      </w:r>
      <w:r w:rsidR="00D13EDA" w:rsidRPr="00844373">
        <w:rPr>
          <w:rFonts w:ascii="Verdana" w:hAnsi="Verdana" w:cs="TimesNewRomanPS-BoldMT"/>
          <w:iCs/>
          <w:sz w:val="18"/>
          <w:szCs w:val="18"/>
          <w:lang w:val="fr-BE"/>
        </w:rPr>
        <w:t xml:space="preserve"> au</w:t>
      </w:r>
      <w:r w:rsidR="0084075A">
        <w:rPr>
          <w:rFonts w:ascii="Verdana" w:hAnsi="Verdana" w:cs="TimesNewRomanPS-BoldMT"/>
          <w:iCs/>
          <w:sz w:val="18"/>
          <w:szCs w:val="18"/>
          <w:lang w:val="fr-BE"/>
        </w:rPr>
        <w:t xml:space="preserve"> RCP</w:t>
      </w:r>
      <w:r w:rsidRPr="00AB67EE">
        <w:rPr>
          <w:rFonts w:ascii="Verdana" w:hAnsi="Verdana" w:cs="TimesNewRomanPS-BoldMT"/>
          <w:iCs/>
          <w:sz w:val="18"/>
          <w:szCs w:val="18"/>
          <w:lang w:val="fr-BE"/>
        </w:rPr>
        <w:t>.</w:t>
      </w:r>
    </w:p>
    <w:p w14:paraId="01BFF1DA" w14:textId="77777777" w:rsidR="00D13EDA" w:rsidRPr="00AB67EE" w:rsidRDefault="00D13EDA" w:rsidP="00AB67EE">
      <w:pPr>
        <w:widowControl w:val="0"/>
        <w:autoSpaceDE w:val="0"/>
        <w:autoSpaceDN w:val="0"/>
        <w:adjustRightInd w:val="0"/>
        <w:rPr>
          <w:rFonts w:ascii="Verdana" w:hAnsi="Verdana" w:cs="TimesNewRomanPS-BoldMT"/>
          <w:iCs/>
          <w:sz w:val="18"/>
          <w:szCs w:val="18"/>
          <w:lang w:val="fr-BE"/>
        </w:rPr>
      </w:pPr>
    </w:p>
    <w:p w14:paraId="26154DEA" w14:textId="29257474" w:rsidR="002038C0" w:rsidRPr="007643AC" w:rsidRDefault="005D6C08" w:rsidP="00AB67EE">
      <w:pPr>
        <w:widowControl w:val="0"/>
        <w:autoSpaceDE w:val="0"/>
        <w:autoSpaceDN w:val="0"/>
        <w:adjustRightInd w:val="0"/>
        <w:rPr>
          <w:rFonts w:ascii="Verdana" w:hAnsi="Verdana" w:cs="TimesNewRomanPS-BoldMT"/>
          <w:iCs/>
          <w:sz w:val="18"/>
          <w:szCs w:val="18"/>
          <w:lang w:val="fr-BE"/>
        </w:rPr>
      </w:pPr>
      <w:r w:rsidRPr="007643AC">
        <w:rPr>
          <w:rFonts w:ascii="Verdana" w:hAnsi="Verdana" w:cs="TimesNewRomanPS-BoldMT"/>
          <w:iCs/>
          <w:sz w:val="18"/>
          <w:szCs w:val="18"/>
          <w:lang w:val="fr-BE"/>
        </w:rPr>
        <w:t xml:space="preserve">Les informations de sécurité suivantes doivent, entre autres, être ajoutées </w:t>
      </w:r>
      <w:r w:rsidR="002038C0" w:rsidRPr="007643AC">
        <w:rPr>
          <w:rFonts w:ascii="Verdana" w:hAnsi="Verdana" w:cs="TimesNewRomanPS-BoldMT"/>
          <w:iCs/>
          <w:sz w:val="18"/>
          <w:szCs w:val="18"/>
          <w:lang w:val="fr-BE"/>
        </w:rPr>
        <w:t>:</w:t>
      </w:r>
    </w:p>
    <w:p w14:paraId="1B2FB677" w14:textId="77777777" w:rsidR="00A12370" w:rsidRPr="007643AC" w:rsidRDefault="00A12370" w:rsidP="00AB67EE">
      <w:pPr>
        <w:widowControl w:val="0"/>
        <w:autoSpaceDE w:val="0"/>
        <w:autoSpaceDN w:val="0"/>
        <w:adjustRightInd w:val="0"/>
        <w:ind w:left="360"/>
        <w:rPr>
          <w:rFonts w:ascii="Verdana" w:hAnsi="Verdana" w:cs="Tahoma"/>
          <w:sz w:val="18"/>
          <w:szCs w:val="18"/>
          <w:lang w:val="fr-BE"/>
        </w:rPr>
      </w:pPr>
    </w:p>
    <w:p w14:paraId="38C908F1" w14:textId="1A378B40" w:rsidR="0006169D" w:rsidRPr="007643AC" w:rsidRDefault="00DF7CE9" w:rsidP="00AB67EE">
      <w:pPr>
        <w:pStyle w:val="Lijstalinea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Tahoma"/>
          <w:b/>
          <w:sz w:val="18"/>
          <w:szCs w:val="18"/>
          <w:lang w:val="fr-BE"/>
        </w:rPr>
      </w:pPr>
      <w:r w:rsidRPr="007643AC">
        <w:rPr>
          <w:rFonts w:ascii="Verdana" w:hAnsi="Verdana" w:cs="Tahoma"/>
          <w:b/>
          <w:sz w:val="18"/>
          <w:szCs w:val="18"/>
          <w:lang w:val="fr-BE"/>
        </w:rPr>
        <w:t>Rubrique</w:t>
      </w:r>
      <w:r w:rsidR="00A12370" w:rsidRPr="007643AC">
        <w:rPr>
          <w:rFonts w:ascii="Verdana" w:hAnsi="Verdana" w:cs="Tahoma"/>
          <w:b/>
          <w:sz w:val="18"/>
          <w:szCs w:val="18"/>
          <w:lang w:val="fr-BE"/>
        </w:rPr>
        <w:t> :</w:t>
      </w:r>
      <w:r w:rsidRPr="007643AC">
        <w:rPr>
          <w:rFonts w:ascii="Verdana" w:hAnsi="Verdana" w:cs="Tahoma"/>
          <w:b/>
          <w:sz w:val="18"/>
          <w:szCs w:val="18"/>
          <w:lang w:val="fr-BE"/>
        </w:rPr>
        <w:t xml:space="preserve"> </w:t>
      </w:r>
      <w:r w:rsidR="0006169D" w:rsidRPr="007643AC">
        <w:rPr>
          <w:rFonts w:ascii="Verdana" w:hAnsi="Verdana" w:cs="Tahoma"/>
          <w:b/>
          <w:sz w:val="18"/>
          <w:szCs w:val="18"/>
          <w:lang w:val="fr-BE"/>
        </w:rPr>
        <w:t>2</w:t>
      </w:r>
      <w:r w:rsidR="00A12370" w:rsidRPr="007643AC">
        <w:rPr>
          <w:rFonts w:ascii="Verdana" w:hAnsi="Verdana" w:cs="Tahoma"/>
          <w:b/>
          <w:sz w:val="18"/>
          <w:szCs w:val="18"/>
          <w:lang w:val="fr-BE"/>
        </w:rPr>
        <w:t xml:space="preserve">. </w:t>
      </w:r>
      <w:r w:rsidR="0006169D" w:rsidRPr="007643AC">
        <w:rPr>
          <w:rFonts w:ascii="Verdana" w:hAnsi="Verdana" w:cs="Tahoma"/>
          <w:b/>
          <w:sz w:val="18"/>
          <w:szCs w:val="18"/>
          <w:lang w:val="fr-BE"/>
        </w:rPr>
        <w:t>Quelles sont les informations à connaître avant d’utiliser [nom du produit]</w:t>
      </w:r>
      <w:r w:rsidR="00782F26" w:rsidRPr="007643AC">
        <w:rPr>
          <w:rFonts w:ascii="Verdana" w:hAnsi="Verdana" w:cs="Tahoma"/>
          <w:b/>
          <w:sz w:val="18"/>
          <w:szCs w:val="18"/>
          <w:lang w:val="fr-BE"/>
        </w:rPr>
        <w:t xml:space="preserve"> </w:t>
      </w:r>
      <w:r w:rsidR="0006169D" w:rsidRPr="007643AC">
        <w:rPr>
          <w:rFonts w:ascii="Verdana" w:hAnsi="Verdana" w:cs="Tahoma"/>
          <w:b/>
          <w:sz w:val="18"/>
          <w:szCs w:val="18"/>
          <w:lang w:val="fr-BE"/>
        </w:rPr>
        <w:t>?</w:t>
      </w:r>
      <w:r w:rsidRPr="007643AC">
        <w:rPr>
          <w:rFonts w:ascii="Verdana" w:hAnsi="Verdana" w:cs="Tahoma"/>
          <w:b/>
          <w:sz w:val="18"/>
          <w:szCs w:val="18"/>
          <w:lang w:val="fr-BE"/>
        </w:rPr>
        <w:t> </w:t>
      </w:r>
    </w:p>
    <w:p w14:paraId="60F6B319" w14:textId="33042E8A" w:rsidR="00A12370" w:rsidRPr="007643AC" w:rsidRDefault="00A12370" w:rsidP="007643AC">
      <w:pPr>
        <w:rPr>
          <w:rFonts w:ascii="Verdana" w:hAnsi="Verdana" w:cs="Arial"/>
          <w:sz w:val="18"/>
          <w:szCs w:val="18"/>
          <w:lang w:val="fr-BE"/>
        </w:rPr>
      </w:pPr>
      <w:r w:rsidRPr="007643AC">
        <w:rPr>
          <w:rFonts w:ascii="Verdana" w:hAnsi="Verdana" w:cs="Arial"/>
          <w:sz w:val="18"/>
          <w:szCs w:val="18"/>
          <w:lang w:val="fr-BE"/>
        </w:rPr>
        <w:t>Ne pas consommer d’alcool pendant le traitement par le paracétamol.</w:t>
      </w:r>
    </w:p>
    <w:p w14:paraId="2BF2E877" w14:textId="77777777" w:rsidR="00A12370" w:rsidRPr="007643AC" w:rsidRDefault="00A12370" w:rsidP="00AB67EE">
      <w:pPr>
        <w:rPr>
          <w:rFonts w:ascii="Verdana" w:hAnsi="Verdana" w:cs="Tahoma"/>
          <w:sz w:val="18"/>
          <w:szCs w:val="18"/>
          <w:lang w:val="fr-BE"/>
        </w:rPr>
      </w:pPr>
    </w:p>
    <w:p w14:paraId="6A96D2B1" w14:textId="77777777" w:rsidR="0006169D" w:rsidRPr="007643AC" w:rsidRDefault="0006169D" w:rsidP="0084075A">
      <w:pPr>
        <w:rPr>
          <w:rFonts w:ascii="Verdana" w:hAnsi="Verdana" w:cs="Tahoma"/>
          <w:b/>
          <w:sz w:val="18"/>
          <w:szCs w:val="18"/>
          <w:lang w:val="fr-BE"/>
        </w:rPr>
      </w:pPr>
      <w:r w:rsidRPr="007643AC">
        <w:rPr>
          <w:rFonts w:ascii="Verdana" w:hAnsi="Verdana" w:cs="Tahoma"/>
          <w:b/>
          <w:sz w:val="18"/>
          <w:szCs w:val="18"/>
          <w:lang w:val="fr-BE"/>
        </w:rPr>
        <w:t>Grossesse et allaitement</w:t>
      </w:r>
    </w:p>
    <w:p w14:paraId="619A53F2" w14:textId="77777777" w:rsidR="0006169D" w:rsidRPr="007643AC" w:rsidRDefault="0006169D" w:rsidP="0084075A">
      <w:pPr>
        <w:rPr>
          <w:rFonts w:ascii="Verdana" w:hAnsi="Verdana" w:cs="Arial"/>
          <w:sz w:val="18"/>
          <w:szCs w:val="18"/>
          <w:vertAlign w:val="superscript"/>
          <w:lang w:val="fr-BE"/>
        </w:rPr>
      </w:pPr>
      <w:r w:rsidRPr="007643AC">
        <w:rPr>
          <w:rFonts w:ascii="Verdana" w:hAnsi="Verdana" w:cs="Tahoma"/>
          <w:sz w:val="18"/>
          <w:szCs w:val="18"/>
          <w:lang w:val="fr-BE"/>
        </w:rPr>
        <w:t>Au besoin, &lt;Nom du produit&gt; peut être utilisé pendant la grossesse. Vous devez utiliser la dose la plus faible possible qui permette de soulager la douleur et/ou la fièvre et la prendre pendant la durée la plus courte possible. Contactez votre &lt;médecin&gt;&lt;sage-femme&gt; si la douleur et/ou la fièvre ne diminuent pas ou si vous devez prendre le médicament plus fréquemment</w:t>
      </w:r>
      <w:r w:rsidR="00D958D0" w:rsidRPr="007643AC">
        <w:rPr>
          <w:rFonts w:ascii="Verdana" w:hAnsi="Verdana" w:cs="Arial"/>
          <w:sz w:val="18"/>
          <w:szCs w:val="18"/>
          <w:lang w:val="fr-BE"/>
        </w:rPr>
        <w:t>.</w:t>
      </w:r>
      <w:r w:rsidR="00D958D0" w:rsidRPr="007643AC">
        <w:rPr>
          <w:rFonts w:ascii="Verdana" w:hAnsi="Verdana" w:cs="Arial"/>
          <w:sz w:val="18"/>
          <w:szCs w:val="18"/>
          <w:vertAlign w:val="superscript"/>
          <w:lang w:val="fr-BE"/>
        </w:rPr>
        <w:t>[12]</w:t>
      </w:r>
    </w:p>
    <w:p w14:paraId="7CA01E58" w14:textId="77777777" w:rsidR="00E737A0" w:rsidRPr="007643AC" w:rsidRDefault="00E737A0" w:rsidP="00E737A0">
      <w:pPr>
        <w:widowControl w:val="0"/>
        <w:autoSpaceDE w:val="0"/>
        <w:autoSpaceDN w:val="0"/>
        <w:adjustRightInd w:val="0"/>
        <w:ind w:left="360"/>
        <w:rPr>
          <w:rFonts w:ascii="Verdana" w:hAnsi="Verdana" w:cs="Arial"/>
          <w:sz w:val="18"/>
          <w:szCs w:val="18"/>
          <w:lang w:val="fr-BE"/>
        </w:rPr>
      </w:pPr>
    </w:p>
    <w:p w14:paraId="4528CE9F" w14:textId="77777777" w:rsidR="00E737A0" w:rsidRPr="007643AC" w:rsidRDefault="00E737A0" w:rsidP="007643AC">
      <w:pPr>
        <w:pStyle w:val="Lijstalinea"/>
        <w:numPr>
          <w:ilvl w:val="0"/>
          <w:numId w:val="38"/>
        </w:numPr>
        <w:ind w:left="0" w:firstLine="0"/>
        <w:rPr>
          <w:rFonts w:ascii="Verdana" w:hAnsi="Verdana" w:cs="Tahoma"/>
          <w:sz w:val="18"/>
          <w:szCs w:val="18"/>
          <w:lang w:val="fr-BE"/>
        </w:rPr>
      </w:pPr>
      <w:r w:rsidRPr="007643AC">
        <w:rPr>
          <w:rFonts w:ascii="Verdana" w:hAnsi="Verdana" w:cs="TimesNewRomanPS-BoldMT"/>
          <w:b/>
          <w:iCs/>
          <w:sz w:val="18"/>
          <w:szCs w:val="18"/>
          <w:lang w:val="fr-BE"/>
        </w:rPr>
        <w:t>Rubrique : 3. Comment prendre ce médicament </w:t>
      </w:r>
      <w:r w:rsidRPr="007643AC">
        <w:rPr>
          <w:rFonts w:ascii="Verdana" w:hAnsi="Verdana" w:cs="TimesNewRomanPS-BoldMT"/>
          <w:b/>
          <w:iCs/>
          <w:sz w:val="18"/>
          <w:szCs w:val="18"/>
          <w:lang w:val="fr-BE"/>
        </w:rPr>
        <w:br/>
      </w:r>
      <w:r w:rsidRPr="007643AC">
        <w:rPr>
          <w:rFonts w:ascii="Verdana" w:hAnsi="Verdana" w:cs="TimesNewRomanPS-BoldMT"/>
          <w:iCs/>
          <w:sz w:val="18"/>
          <w:szCs w:val="18"/>
          <w:lang w:val="fr-BE"/>
        </w:rPr>
        <w:t>Consulter un médecin si la douleur ou la fièvre dure plus de 3 jours.</w:t>
      </w:r>
    </w:p>
    <w:p w14:paraId="2DAD54E8" w14:textId="77777777" w:rsidR="00E737A0" w:rsidRPr="007643AC" w:rsidRDefault="00E737A0" w:rsidP="00AB67EE">
      <w:pPr>
        <w:pStyle w:val="Lijstalinea"/>
        <w:ind w:left="360"/>
        <w:rPr>
          <w:rFonts w:ascii="Verdana" w:hAnsi="Verdana" w:cs="Tahoma"/>
          <w:sz w:val="18"/>
          <w:szCs w:val="18"/>
          <w:lang w:val="fr-BE"/>
        </w:rPr>
      </w:pPr>
    </w:p>
    <w:p w14:paraId="25B90564" w14:textId="498B8181" w:rsidR="00E737A0" w:rsidRPr="007643AC" w:rsidRDefault="00E737A0" w:rsidP="00E737A0">
      <w:pPr>
        <w:pStyle w:val="Lijstalinea"/>
        <w:numPr>
          <w:ilvl w:val="0"/>
          <w:numId w:val="38"/>
        </w:numPr>
        <w:rPr>
          <w:rFonts w:ascii="Verdana" w:hAnsi="Verdana" w:cs="Tahoma"/>
          <w:b/>
          <w:sz w:val="18"/>
          <w:szCs w:val="18"/>
          <w:lang w:val="fr-BE"/>
        </w:rPr>
      </w:pPr>
      <w:r w:rsidRPr="007643AC">
        <w:rPr>
          <w:rFonts w:ascii="Verdana" w:hAnsi="Verdana" w:cs="Tahoma"/>
          <w:b/>
          <w:sz w:val="18"/>
          <w:szCs w:val="18"/>
          <w:lang w:val="fr-BE"/>
        </w:rPr>
        <w:t>Rubrique : 4. Quels sont les effets indésirables éventuels?</w:t>
      </w:r>
    </w:p>
    <w:p w14:paraId="67FE2C80" w14:textId="427A232B" w:rsidR="00927933" w:rsidRPr="00844373" w:rsidRDefault="00E737A0" w:rsidP="007643AC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  <w:r w:rsidRPr="007643AC">
        <w:rPr>
          <w:rFonts w:ascii="Verdana" w:hAnsi="Verdana" w:cs="Tahoma"/>
          <w:sz w:val="18"/>
          <w:szCs w:val="18"/>
          <w:lang w:val="fr-BE"/>
        </w:rPr>
        <w:t>De très rares cas de réactions cutanées sévères ont été signalés.</w:t>
      </w:r>
    </w:p>
    <w:p w14:paraId="1CFE2336" w14:textId="77777777" w:rsidR="00927933" w:rsidRPr="00FB20DC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5C9999FE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0BB59B24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510D5CD7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08AF76C1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4E6B8B00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0EC06462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05D7ADDD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3E35BBD8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2E742F07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3A3CE60D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4D5257A4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6AF8FD07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6D0FD633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139948A8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7A851EAF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5FF70E9E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23F8A4BB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14D471E7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352267D6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03F64A12" w14:textId="77777777" w:rsidR="00927933" w:rsidRPr="008C7774" w:rsidRDefault="00927933" w:rsidP="00AB67E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fr-BE"/>
        </w:rPr>
      </w:pPr>
    </w:p>
    <w:p w14:paraId="156F5E8D" w14:textId="02969DA2" w:rsidR="002038C0" w:rsidRPr="0084075A" w:rsidRDefault="002038C0" w:rsidP="0084075A">
      <w:pPr>
        <w:rPr>
          <w:rFonts w:ascii="Verdana" w:hAnsi="Verdana" w:cs="Arial"/>
          <w:b/>
          <w:sz w:val="18"/>
          <w:szCs w:val="18"/>
          <w:lang w:val="fr-BE"/>
        </w:rPr>
      </w:pPr>
      <w:r w:rsidRPr="0084075A">
        <w:rPr>
          <w:rFonts w:ascii="Verdana" w:hAnsi="Verdana" w:cs="Arial"/>
          <w:b/>
          <w:sz w:val="18"/>
          <w:szCs w:val="18"/>
          <w:lang w:val="fr-BE"/>
        </w:rPr>
        <w:t>Références</w:t>
      </w:r>
    </w:p>
    <w:p w14:paraId="6C8AF800" w14:textId="296CF8A1" w:rsidR="002038C0" w:rsidRPr="00FB20DC" w:rsidRDefault="002038C0" w:rsidP="00AB67EE">
      <w:pPr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r w:rsidRPr="00844373">
        <w:rPr>
          <w:rFonts w:ascii="Verdana" w:hAnsi="Verdana" w:cs="Arial"/>
          <w:sz w:val="18"/>
          <w:szCs w:val="18"/>
          <w:lang w:val="fr-BE"/>
        </w:rPr>
        <w:t xml:space="preserve">MARTINDALE - The Complete Drug Reference </w:t>
      </w:r>
      <w:r w:rsidR="00415398" w:rsidRPr="00844373">
        <w:rPr>
          <w:rFonts w:ascii="Verdana" w:hAnsi="Verdana" w:cs="Arial"/>
          <w:sz w:val="18"/>
          <w:szCs w:val="18"/>
          <w:lang w:val="fr-BE"/>
        </w:rPr>
        <w:t xml:space="preserve">(last </w:t>
      </w:r>
      <w:proofErr w:type="spellStart"/>
      <w:r w:rsidR="00415398" w:rsidRPr="00844373">
        <w:rPr>
          <w:rFonts w:ascii="Verdana" w:hAnsi="Verdana" w:cs="Arial"/>
          <w:sz w:val="18"/>
          <w:szCs w:val="18"/>
          <w:lang w:val="fr-BE"/>
        </w:rPr>
        <w:t>access</w:t>
      </w:r>
      <w:proofErr w:type="spellEnd"/>
      <w:r w:rsidR="00415398" w:rsidRPr="00844373">
        <w:rPr>
          <w:rFonts w:ascii="Verdana" w:hAnsi="Verdana" w:cs="Arial"/>
          <w:sz w:val="18"/>
          <w:szCs w:val="18"/>
          <w:lang w:val="fr-BE"/>
        </w:rPr>
        <w:t xml:space="preserve"> 17 Jan 2013)</w:t>
      </w:r>
    </w:p>
    <w:p w14:paraId="5C0F1C0B" w14:textId="48214D94" w:rsidR="00415398" w:rsidRPr="00844373" w:rsidRDefault="00782F26" w:rsidP="00AB67EE">
      <w:pPr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r w:rsidRPr="00FB20DC">
        <w:rPr>
          <w:rFonts w:ascii="Verdana" w:hAnsi="Verdana" w:cs="Arial"/>
          <w:sz w:val="18"/>
          <w:szCs w:val="18"/>
          <w:lang w:val="fr-BE"/>
        </w:rPr>
        <w:t>« 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/>
        </w:rPr>
        <w:t>Paracetamol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/>
        </w:rPr>
        <w:t xml:space="preserve"> use at 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/>
        </w:rPr>
        <w:t>therapeutic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/>
        </w:rPr>
        <w:t xml:space="preserve"> doses in 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/>
        </w:rPr>
        <w:t>severe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/>
        </w:rPr>
        <w:t>hepatic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/>
        </w:rPr>
        <w:t>impairment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/>
        </w:rPr>
        <w:t xml:space="preserve"> or 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/>
        </w:rPr>
        <w:t>severe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/>
        </w:rPr>
        <w:t>haemolytic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/>
        </w:rPr>
        <w:t>anaemia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/>
        </w:rPr>
        <w:t xml:space="preserve"> - 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/>
        </w:rPr>
        <w:t>Summary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/>
        </w:rPr>
        <w:t xml:space="preserve"> of 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/>
        </w:rPr>
        <w:t>Assessment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/>
        </w:rPr>
        <w:t>Outcome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/>
        </w:rPr>
        <w:t>agreed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/>
        </w:rPr>
        <w:t xml:space="preserve"> by 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/>
        </w:rPr>
        <w:t>PhVWP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/>
        </w:rPr>
        <w:t xml:space="preserve"> in July 2011</w:t>
      </w:r>
      <w:r w:rsidRPr="008C7774">
        <w:rPr>
          <w:rFonts w:ascii="Verdana" w:hAnsi="Verdana" w:cs="Arial"/>
          <w:sz w:val="18"/>
          <w:szCs w:val="18"/>
          <w:lang w:val="fr-BE"/>
        </w:rPr>
        <w:t> »</w:t>
      </w:r>
      <w:r w:rsidR="002038C0" w:rsidRPr="008C7774">
        <w:rPr>
          <w:rFonts w:ascii="Verdana" w:hAnsi="Verdana" w:cs="Arial"/>
          <w:sz w:val="18"/>
          <w:szCs w:val="18"/>
          <w:lang w:val="fr-BE"/>
        </w:rPr>
        <w:t xml:space="preserve"> Doc. Réf.: </w:t>
      </w:r>
      <w:hyperlink r:id="rId13" w:history="1">
        <w:proofErr w:type="spellStart"/>
        <w:r w:rsidR="002038C0" w:rsidRPr="00844373">
          <w:rPr>
            <w:rStyle w:val="Hyperlink"/>
            <w:rFonts w:ascii="Verdana" w:hAnsi="Verdana" w:cs="Arial"/>
            <w:sz w:val="18"/>
            <w:szCs w:val="18"/>
            <w:lang w:val="fr-BE"/>
          </w:rPr>
          <w:t>CMDh</w:t>
        </w:r>
        <w:proofErr w:type="spellEnd"/>
        <w:r w:rsidR="002038C0" w:rsidRPr="00844373">
          <w:rPr>
            <w:rStyle w:val="Hyperlink"/>
            <w:rFonts w:ascii="Verdana" w:hAnsi="Verdana" w:cs="Arial"/>
            <w:sz w:val="18"/>
            <w:szCs w:val="18"/>
            <w:lang w:val="fr-BE"/>
          </w:rPr>
          <w:t>/</w:t>
        </w:r>
        <w:proofErr w:type="spellStart"/>
        <w:r w:rsidR="002038C0" w:rsidRPr="00844373">
          <w:rPr>
            <w:rStyle w:val="Hyperlink"/>
            <w:rFonts w:ascii="Verdana" w:hAnsi="Verdana" w:cs="Arial"/>
            <w:sz w:val="18"/>
            <w:szCs w:val="18"/>
            <w:lang w:val="fr-BE"/>
          </w:rPr>
          <w:t>PhWP</w:t>
        </w:r>
        <w:proofErr w:type="spellEnd"/>
        <w:r w:rsidR="002038C0" w:rsidRPr="00844373">
          <w:rPr>
            <w:rStyle w:val="Hyperlink"/>
            <w:rFonts w:ascii="Verdana" w:hAnsi="Verdana" w:cs="Arial"/>
            <w:sz w:val="18"/>
            <w:szCs w:val="18"/>
            <w:lang w:val="fr-BE"/>
          </w:rPr>
          <w:t xml:space="preserve">/032/2011 dd. </w:t>
        </w:r>
        <w:r w:rsidR="002038C0" w:rsidRPr="00AB67EE">
          <w:rPr>
            <w:rStyle w:val="Hyperlink"/>
            <w:rFonts w:cs="Arial"/>
          </w:rPr>
          <w:t>September 2011</w:t>
        </w:r>
      </w:hyperlink>
      <w:r w:rsidR="002038C0" w:rsidRPr="00844373">
        <w:rPr>
          <w:rFonts w:ascii="Verdana" w:hAnsi="Verdana" w:cs="Arial"/>
          <w:sz w:val="18"/>
          <w:szCs w:val="18"/>
          <w:lang w:val="fr-BE"/>
        </w:rPr>
        <w:t xml:space="preserve"> </w:t>
      </w:r>
    </w:p>
    <w:p w14:paraId="43AEC257" w14:textId="7831DA42" w:rsidR="00782F26" w:rsidRPr="00AB67EE" w:rsidRDefault="00422712" w:rsidP="00AB67EE">
      <w:pPr>
        <w:ind w:left="360"/>
        <w:rPr>
          <w:rFonts w:ascii="Verdana" w:hAnsi="Verdana" w:cs="Arial"/>
          <w:sz w:val="18"/>
          <w:szCs w:val="18"/>
          <w:lang w:val="fr-BE"/>
        </w:rPr>
      </w:pPr>
      <w:hyperlink r:id="rId14" w:history="1">
        <w:r w:rsidR="002038C0" w:rsidRPr="00AB67EE">
          <w:rPr>
            <w:rStyle w:val="Hyperlink"/>
            <w:rFonts w:cs="Arial"/>
          </w:rPr>
          <w:t xml:space="preserve">Public Assessment Report (UK/H/1253/1/DC) </w:t>
        </w:r>
        <w:proofErr w:type="spellStart"/>
        <w:r w:rsidR="002038C0" w:rsidRPr="00AB67EE">
          <w:rPr>
            <w:rStyle w:val="Hyperlink"/>
            <w:rFonts w:cs="Arial"/>
          </w:rPr>
          <w:t>for</w:t>
        </w:r>
        <w:proofErr w:type="spellEnd"/>
        <w:r w:rsidR="002038C0" w:rsidRPr="00AB67EE">
          <w:rPr>
            <w:rStyle w:val="Hyperlink"/>
            <w:rFonts w:cs="Arial"/>
          </w:rPr>
          <w:t xml:space="preserve"> Paracetamol </w:t>
        </w:r>
        <w:proofErr w:type="spellStart"/>
        <w:r w:rsidR="002038C0" w:rsidRPr="00AB67EE">
          <w:rPr>
            <w:rStyle w:val="Hyperlink"/>
            <w:rFonts w:cs="Arial"/>
          </w:rPr>
          <w:t>Accord</w:t>
        </w:r>
        <w:proofErr w:type="spellEnd"/>
        <w:r w:rsidR="002038C0" w:rsidRPr="00AB67EE">
          <w:rPr>
            <w:rStyle w:val="Hyperlink"/>
            <w:rFonts w:cs="Arial"/>
          </w:rPr>
          <w:t xml:space="preserve"> 500 mg </w:t>
        </w:r>
        <w:proofErr w:type="spellStart"/>
        <w:r w:rsidR="002038C0" w:rsidRPr="00AB67EE">
          <w:rPr>
            <w:rStyle w:val="Hyperlink"/>
            <w:rFonts w:cs="Arial"/>
          </w:rPr>
          <w:t>Effervescent</w:t>
        </w:r>
        <w:proofErr w:type="spellEnd"/>
        <w:r w:rsidR="002038C0" w:rsidRPr="00AB67EE">
          <w:rPr>
            <w:rStyle w:val="Hyperlink"/>
            <w:rFonts w:cs="Arial"/>
          </w:rPr>
          <w:t xml:space="preserve"> tablets</w:t>
        </w:r>
      </w:hyperlink>
      <w:r w:rsidR="002038C0" w:rsidRPr="00844373">
        <w:rPr>
          <w:rFonts w:ascii="Verdana" w:hAnsi="Verdana" w:cs="Arial"/>
          <w:sz w:val="18"/>
          <w:szCs w:val="18"/>
          <w:lang w:val="fr-BE"/>
        </w:rPr>
        <w:t xml:space="preserve"> </w:t>
      </w:r>
    </w:p>
    <w:p w14:paraId="1793718A" w14:textId="77777777" w:rsidR="002038C0" w:rsidRPr="00AB67EE" w:rsidRDefault="002038C0" w:rsidP="00AB67EE">
      <w:pPr>
        <w:pStyle w:val="Lijstalinea"/>
        <w:numPr>
          <w:ilvl w:val="0"/>
          <w:numId w:val="7"/>
        </w:numPr>
        <w:rPr>
          <w:lang w:val="fr-BE"/>
        </w:rPr>
      </w:pPr>
      <w:proofErr w:type="spellStart"/>
      <w:r w:rsidRPr="00FB20DC">
        <w:rPr>
          <w:rFonts w:ascii="Verdana" w:hAnsi="Verdana"/>
          <w:sz w:val="18"/>
          <w:szCs w:val="18"/>
          <w:lang w:val="fr-BE"/>
        </w:rPr>
        <w:t>Claridge</w:t>
      </w:r>
      <w:proofErr w:type="spellEnd"/>
      <w:r w:rsidRPr="00FB20DC">
        <w:rPr>
          <w:rFonts w:ascii="Verdana" w:hAnsi="Verdana"/>
          <w:sz w:val="18"/>
          <w:szCs w:val="18"/>
          <w:lang w:val="fr-BE"/>
        </w:rPr>
        <w:t xml:space="preserve"> LC, </w:t>
      </w:r>
      <w:proofErr w:type="spellStart"/>
      <w:r w:rsidRPr="00FB20DC">
        <w:rPr>
          <w:rFonts w:ascii="Verdana" w:hAnsi="Verdana"/>
          <w:sz w:val="18"/>
          <w:szCs w:val="18"/>
          <w:lang w:val="fr-BE"/>
        </w:rPr>
        <w:t>Eksteen</w:t>
      </w:r>
      <w:proofErr w:type="spellEnd"/>
      <w:r w:rsidRPr="00FB20DC">
        <w:rPr>
          <w:rFonts w:ascii="Verdana" w:hAnsi="Verdana"/>
          <w:sz w:val="18"/>
          <w:szCs w:val="18"/>
          <w:lang w:val="fr-BE"/>
        </w:rPr>
        <w:t xml:space="preserve"> B, Smith A, Shah T, Holt AP. Acute </w:t>
      </w:r>
      <w:proofErr w:type="spellStart"/>
      <w:r w:rsidRPr="00FB20DC">
        <w:rPr>
          <w:rFonts w:ascii="Verdana" w:hAnsi="Verdana"/>
          <w:sz w:val="18"/>
          <w:szCs w:val="18"/>
          <w:lang w:val="fr-BE"/>
        </w:rPr>
        <w:t>liver</w:t>
      </w:r>
      <w:proofErr w:type="spellEnd"/>
      <w:r w:rsidRPr="00FB20DC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FB20DC">
        <w:rPr>
          <w:rFonts w:ascii="Verdana" w:hAnsi="Verdana"/>
          <w:sz w:val="18"/>
          <w:szCs w:val="18"/>
          <w:lang w:val="fr-BE"/>
        </w:rPr>
        <w:t>failure</w:t>
      </w:r>
      <w:proofErr w:type="spellEnd"/>
      <w:r w:rsidRPr="00FB20DC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FB20DC">
        <w:rPr>
          <w:rFonts w:ascii="Verdana" w:hAnsi="Verdana"/>
          <w:sz w:val="18"/>
          <w:szCs w:val="18"/>
          <w:lang w:val="fr-BE"/>
        </w:rPr>
        <w:t>after</w:t>
      </w:r>
      <w:proofErr w:type="spellEnd"/>
      <w:r w:rsidRPr="00FB20DC">
        <w:rPr>
          <w:rFonts w:ascii="Verdana" w:hAnsi="Verdana"/>
          <w:sz w:val="18"/>
          <w:szCs w:val="18"/>
          <w:lang w:val="fr-BE"/>
        </w:rPr>
        <w:t xml:space="preserve"> administration of </w:t>
      </w:r>
      <w:proofErr w:type="spellStart"/>
      <w:r w:rsidRPr="00FB20DC">
        <w:rPr>
          <w:rFonts w:ascii="Verdana" w:hAnsi="Verdana"/>
          <w:sz w:val="18"/>
          <w:szCs w:val="18"/>
          <w:lang w:val="fr-BE"/>
        </w:rPr>
        <w:t>paracetamol</w:t>
      </w:r>
      <w:proofErr w:type="spellEnd"/>
      <w:r w:rsidRPr="00FB20DC">
        <w:rPr>
          <w:rFonts w:ascii="Verdana" w:hAnsi="Verdana"/>
          <w:sz w:val="18"/>
          <w:szCs w:val="18"/>
          <w:lang w:val="fr-BE"/>
        </w:rPr>
        <w:t xml:space="preserve"> at the maximum </w:t>
      </w:r>
      <w:proofErr w:type="spellStart"/>
      <w:r w:rsidRPr="00FB20DC">
        <w:rPr>
          <w:rFonts w:ascii="Verdana" w:hAnsi="Verdana"/>
          <w:sz w:val="18"/>
          <w:szCs w:val="18"/>
          <w:lang w:val="fr-BE"/>
        </w:rPr>
        <w:t>recomm</w:t>
      </w:r>
      <w:r w:rsidRPr="008C7774">
        <w:rPr>
          <w:rFonts w:ascii="Verdana" w:hAnsi="Verdana"/>
          <w:sz w:val="18"/>
          <w:szCs w:val="18"/>
          <w:lang w:val="fr-BE"/>
        </w:rPr>
        <w:t>ended</w:t>
      </w:r>
      <w:proofErr w:type="spellEnd"/>
      <w:r w:rsidRPr="008C7774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8C7774">
        <w:rPr>
          <w:rFonts w:ascii="Verdana" w:hAnsi="Verdana"/>
          <w:sz w:val="18"/>
          <w:szCs w:val="18"/>
          <w:lang w:val="fr-BE"/>
        </w:rPr>
        <w:t>daily</w:t>
      </w:r>
      <w:proofErr w:type="spellEnd"/>
      <w:r w:rsidRPr="008C7774">
        <w:rPr>
          <w:rFonts w:ascii="Verdana" w:hAnsi="Verdana"/>
          <w:sz w:val="18"/>
          <w:szCs w:val="18"/>
          <w:lang w:val="fr-BE"/>
        </w:rPr>
        <w:t xml:space="preserve"> dose in </w:t>
      </w:r>
      <w:proofErr w:type="spellStart"/>
      <w:r w:rsidRPr="008C7774">
        <w:rPr>
          <w:rFonts w:ascii="Verdana" w:hAnsi="Verdana"/>
          <w:sz w:val="18"/>
          <w:szCs w:val="18"/>
          <w:lang w:val="fr-BE"/>
        </w:rPr>
        <w:t>adults</w:t>
      </w:r>
      <w:proofErr w:type="spellEnd"/>
      <w:r w:rsidRPr="008C7774">
        <w:rPr>
          <w:rFonts w:ascii="Verdana" w:hAnsi="Verdana"/>
          <w:sz w:val="18"/>
          <w:szCs w:val="18"/>
          <w:lang w:val="fr-BE"/>
        </w:rPr>
        <w:t xml:space="preserve">. BMJ. 2010 </w:t>
      </w:r>
      <w:proofErr w:type="spellStart"/>
      <w:r w:rsidRPr="008C7774">
        <w:rPr>
          <w:rFonts w:ascii="Verdana" w:hAnsi="Verdana"/>
          <w:sz w:val="18"/>
          <w:szCs w:val="18"/>
          <w:lang w:val="fr-BE"/>
        </w:rPr>
        <w:t>Dec</w:t>
      </w:r>
      <w:proofErr w:type="spellEnd"/>
      <w:r w:rsidRPr="008C7774">
        <w:rPr>
          <w:rFonts w:ascii="Verdana" w:hAnsi="Verdana"/>
          <w:sz w:val="18"/>
          <w:szCs w:val="18"/>
          <w:lang w:val="fr-BE"/>
        </w:rPr>
        <w:t xml:space="preserve"> 2;341</w:t>
      </w:r>
    </w:p>
    <w:p w14:paraId="0E778A56" w14:textId="03797BE7" w:rsidR="002038C0" w:rsidRPr="008C7774" w:rsidRDefault="00782F26" w:rsidP="00AB67EE">
      <w:pPr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r w:rsidRPr="00844373">
        <w:rPr>
          <w:rFonts w:ascii="Verdana" w:hAnsi="Verdana" w:cs="Arial"/>
          <w:sz w:val="18"/>
          <w:szCs w:val="18"/>
          <w:lang w:val="fr-BE" w:eastAsia="en-US"/>
        </w:rPr>
        <w:t>« </w:t>
      </w:r>
      <w:proofErr w:type="spellStart"/>
      <w:r w:rsidR="002038C0" w:rsidRPr="00FB20DC">
        <w:rPr>
          <w:rFonts w:ascii="Verdana" w:hAnsi="Verdana" w:cs="Arial"/>
          <w:sz w:val="18"/>
          <w:szCs w:val="18"/>
          <w:lang w:val="fr-BE" w:eastAsia="en-US"/>
        </w:rPr>
        <w:t>Stockley's</w:t>
      </w:r>
      <w:proofErr w:type="spellEnd"/>
      <w:r w:rsidR="002038C0" w:rsidRPr="00FB20DC">
        <w:rPr>
          <w:rFonts w:ascii="Verdana" w:hAnsi="Verdana" w:cs="Arial"/>
          <w:sz w:val="18"/>
          <w:szCs w:val="18"/>
          <w:lang w:val="fr-BE" w:eastAsia="en-US"/>
        </w:rPr>
        <w:t xml:space="preserve"> Drug Interactions.</w:t>
      </w:r>
      <w:r w:rsidRPr="00FB20DC">
        <w:rPr>
          <w:rFonts w:ascii="Verdana" w:hAnsi="Verdana" w:cs="Arial"/>
          <w:sz w:val="18"/>
          <w:szCs w:val="18"/>
          <w:lang w:val="fr-BE" w:eastAsia="en-US"/>
        </w:rPr>
        <w:t> »</w:t>
      </w:r>
      <w:r w:rsidR="002038C0" w:rsidRPr="008C7774">
        <w:rPr>
          <w:rFonts w:ascii="Verdana" w:hAnsi="Verdana" w:cs="Arial"/>
          <w:sz w:val="18"/>
          <w:szCs w:val="18"/>
          <w:lang w:val="fr-BE" w:eastAsia="en-US"/>
        </w:rPr>
        <w:t xml:space="preserve"> Ed. Baxter K London, UK: Pharmaceutical Press, 2008.</w:t>
      </w:r>
      <w:r w:rsidR="002038C0" w:rsidRPr="008C7774">
        <w:rPr>
          <w:rFonts w:ascii="Verdana" w:hAnsi="Verdana" w:cs="Arial"/>
          <w:sz w:val="18"/>
          <w:szCs w:val="18"/>
          <w:lang w:val="fr-BE"/>
        </w:rPr>
        <w:t xml:space="preserve"> </w:t>
      </w:r>
    </w:p>
    <w:p w14:paraId="0ADBCA98" w14:textId="5E299F1F" w:rsidR="00415398" w:rsidRPr="00FB20DC" w:rsidRDefault="00422712" w:rsidP="00AB67EE">
      <w:pPr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hyperlink r:id="rId15" w:history="1">
        <w:r w:rsidR="002038C0" w:rsidRPr="00844373">
          <w:rPr>
            <w:rStyle w:val="Hyperlink"/>
            <w:rFonts w:ascii="Verdana" w:hAnsi="Verdana" w:cs="Arial"/>
            <w:sz w:val="18"/>
            <w:szCs w:val="18"/>
            <w:lang w:val="fr-BE"/>
          </w:rPr>
          <w:t>Répertoire commenté des médicaments 201</w:t>
        </w:r>
        <w:r w:rsidR="00AB0ECE" w:rsidRPr="00AB67EE">
          <w:rPr>
            <w:rStyle w:val="Hyperlink"/>
            <w:rFonts w:cs="Arial"/>
          </w:rPr>
          <w:t>3</w:t>
        </w:r>
      </w:hyperlink>
      <w:r w:rsidR="00415398" w:rsidRPr="00844373">
        <w:rPr>
          <w:rFonts w:ascii="Verdana" w:hAnsi="Verdana" w:cs="Arial"/>
          <w:sz w:val="18"/>
          <w:szCs w:val="18"/>
          <w:lang w:val="fr-BE"/>
        </w:rPr>
        <w:t xml:space="preserve"> [</w:t>
      </w:r>
      <w:proofErr w:type="spellStart"/>
      <w:r w:rsidR="00415398" w:rsidRPr="00844373">
        <w:rPr>
          <w:rFonts w:ascii="Verdana" w:hAnsi="Verdana" w:cs="Arial"/>
          <w:sz w:val="18"/>
          <w:szCs w:val="18"/>
          <w:lang w:val="fr-BE"/>
        </w:rPr>
        <w:t>Available</w:t>
      </w:r>
      <w:proofErr w:type="spellEnd"/>
      <w:r w:rsidR="00415398" w:rsidRPr="00844373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="00415398" w:rsidRPr="00844373">
        <w:rPr>
          <w:rFonts w:ascii="Verdana" w:hAnsi="Verdana" w:cs="Arial"/>
          <w:sz w:val="18"/>
          <w:szCs w:val="18"/>
          <w:lang w:val="fr-BE"/>
        </w:rPr>
        <w:t>from</w:t>
      </w:r>
      <w:proofErr w:type="spellEnd"/>
      <w:r w:rsidR="00415398" w:rsidRPr="00844373">
        <w:rPr>
          <w:rFonts w:ascii="Verdana" w:hAnsi="Verdana" w:cs="Arial"/>
          <w:sz w:val="18"/>
          <w:szCs w:val="18"/>
          <w:lang w:val="fr-BE"/>
        </w:rPr>
        <w:t xml:space="preserve"> last </w:t>
      </w:r>
      <w:proofErr w:type="spellStart"/>
      <w:r w:rsidR="00415398" w:rsidRPr="00844373">
        <w:rPr>
          <w:rFonts w:ascii="Verdana" w:hAnsi="Verdana" w:cs="Arial"/>
          <w:sz w:val="18"/>
          <w:szCs w:val="18"/>
          <w:lang w:val="fr-BE"/>
        </w:rPr>
        <w:t>access</w:t>
      </w:r>
      <w:proofErr w:type="spellEnd"/>
      <w:r w:rsidR="00415398" w:rsidRPr="00844373">
        <w:rPr>
          <w:rFonts w:ascii="Verdana" w:hAnsi="Verdana" w:cs="Arial"/>
          <w:sz w:val="18"/>
          <w:szCs w:val="18"/>
          <w:lang w:val="fr-BE"/>
        </w:rPr>
        <w:t xml:space="preserve"> </w:t>
      </w:r>
      <w:r w:rsidR="00415398" w:rsidRPr="00FB20DC">
        <w:rPr>
          <w:rFonts w:ascii="Verdana" w:hAnsi="Verdana" w:cs="Arial"/>
          <w:sz w:val="18"/>
          <w:szCs w:val="18"/>
          <w:lang w:val="fr-BE"/>
        </w:rPr>
        <w:t>17 Jan 2013]</w:t>
      </w:r>
    </w:p>
    <w:p w14:paraId="526C9CE7" w14:textId="77777777" w:rsidR="002038C0" w:rsidRPr="008C7774" w:rsidRDefault="002038C0" w:rsidP="00AB67EE">
      <w:pPr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Kristensen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, D. M. et al.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Intrauterine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exposure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to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mild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analgesics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is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a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risk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factor for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development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of male reproductive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disorders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in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human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and rat. Hum.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Reprod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>. 26, 235–244 (2011)</w:t>
      </w:r>
    </w:p>
    <w:p w14:paraId="2BCC2FAC" w14:textId="77777777" w:rsidR="002038C0" w:rsidRPr="008C7774" w:rsidRDefault="002038C0" w:rsidP="00AB67EE">
      <w:pPr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r w:rsidRPr="008C7774">
        <w:rPr>
          <w:rFonts w:ascii="Verdana" w:hAnsi="Verdana" w:cs="Arial"/>
          <w:sz w:val="18"/>
          <w:szCs w:val="18"/>
          <w:lang w:val="fr-BE"/>
        </w:rPr>
        <w:t xml:space="preserve">Final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SmPC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for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paracetamol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Basi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(PT-H-618-01-DC)</w:t>
      </w:r>
    </w:p>
    <w:p w14:paraId="534DA696" w14:textId="77777777" w:rsidR="00DE5526" w:rsidRPr="008C7774" w:rsidRDefault="00DE5526" w:rsidP="00AB67EE">
      <w:pPr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Micromedex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2.0 online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drug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reference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(last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access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17 Jan 2013)</w:t>
      </w:r>
    </w:p>
    <w:p w14:paraId="3D59B4D1" w14:textId="78F3DD25" w:rsidR="00F763B8" w:rsidRPr="00FB20DC" w:rsidRDefault="00422712" w:rsidP="00AB67EE">
      <w:pPr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hyperlink r:id="rId16" w:history="1">
        <w:r w:rsidR="00F763B8" w:rsidRPr="00AB67EE">
          <w:rPr>
            <w:rStyle w:val="Hyperlink"/>
            <w:rFonts w:cs="Arial"/>
          </w:rPr>
          <w:t>Farmacotherapeutisch Kompas</w:t>
        </w:r>
      </w:hyperlink>
      <w:r w:rsidR="00F763B8" w:rsidRPr="00844373">
        <w:rPr>
          <w:rFonts w:ascii="Verdana" w:hAnsi="Verdana" w:cs="Arial"/>
          <w:sz w:val="18"/>
          <w:szCs w:val="18"/>
          <w:lang w:val="fr-BE"/>
        </w:rPr>
        <w:t xml:space="preserve"> [</w:t>
      </w:r>
      <w:proofErr w:type="spellStart"/>
      <w:r w:rsidR="00F763B8" w:rsidRPr="00844373">
        <w:rPr>
          <w:rFonts w:ascii="Verdana" w:hAnsi="Verdana" w:cs="Arial"/>
          <w:sz w:val="18"/>
          <w:szCs w:val="18"/>
          <w:lang w:val="fr-BE"/>
        </w:rPr>
        <w:t>Available</w:t>
      </w:r>
      <w:proofErr w:type="spellEnd"/>
      <w:r w:rsidR="00F763B8" w:rsidRPr="00844373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="00F763B8" w:rsidRPr="00844373">
        <w:rPr>
          <w:rFonts w:ascii="Verdana" w:hAnsi="Verdana" w:cs="Arial"/>
          <w:sz w:val="18"/>
          <w:szCs w:val="18"/>
          <w:lang w:val="fr-BE"/>
        </w:rPr>
        <w:t>from</w:t>
      </w:r>
      <w:proofErr w:type="spellEnd"/>
      <w:r w:rsidR="00782F26" w:rsidRPr="00AB67EE">
        <w:rPr>
          <w:rFonts w:ascii="Verdana" w:hAnsi="Verdana" w:cs="Arial"/>
          <w:sz w:val="18"/>
          <w:szCs w:val="18"/>
          <w:lang w:val="fr-BE"/>
        </w:rPr>
        <w:t xml:space="preserve"> l</w:t>
      </w:r>
      <w:r w:rsidR="00F763B8" w:rsidRPr="00FB20DC">
        <w:rPr>
          <w:rFonts w:ascii="Verdana" w:hAnsi="Verdana" w:cs="Arial"/>
          <w:sz w:val="18"/>
          <w:szCs w:val="18"/>
          <w:lang w:val="fr-BE"/>
        </w:rPr>
        <w:t xml:space="preserve">ast </w:t>
      </w:r>
      <w:proofErr w:type="spellStart"/>
      <w:r w:rsidR="00F763B8" w:rsidRPr="00FB20DC">
        <w:rPr>
          <w:rFonts w:ascii="Verdana" w:hAnsi="Verdana" w:cs="Arial"/>
          <w:sz w:val="18"/>
          <w:szCs w:val="18"/>
          <w:lang w:val="fr-BE"/>
        </w:rPr>
        <w:t>access</w:t>
      </w:r>
      <w:proofErr w:type="spellEnd"/>
      <w:r w:rsidR="00F763B8" w:rsidRPr="00FB20DC">
        <w:rPr>
          <w:rFonts w:ascii="Verdana" w:hAnsi="Verdana" w:cs="Arial"/>
          <w:sz w:val="18"/>
          <w:szCs w:val="18"/>
          <w:lang w:val="fr-BE"/>
        </w:rPr>
        <w:t xml:space="preserve"> 17 Jan 2013]</w:t>
      </w:r>
    </w:p>
    <w:p w14:paraId="39B0A99D" w14:textId="16CC4831" w:rsidR="00350618" w:rsidRPr="00844373" w:rsidRDefault="00350618" w:rsidP="00AB67EE">
      <w:pPr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r w:rsidRPr="00FB20DC">
        <w:rPr>
          <w:rFonts w:ascii="Verdana" w:hAnsi="Verdana" w:cs="Arial"/>
          <w:sz w:val="18"/>
          <w:szCs w:val="18"/>
          <w:lang w:val="fr-BE"/>
        </w:rPr>
        <w:t xml:space="preserve">PRAC </w:t>
      </w:r>
      <w:proofErr w:type="spellStart"/>
      <w:r w:rsidRPr="00FB20DC">
        <w:rPr>
          <w:rFonts w:ascii="Verdana" w:hAnsi="Verdana" w:cs="Arial"/>
          <w:sz w:val="18"/>
          <w:szCs w:val="18"/>
          <w:lang w:val="fr-BE"/>
        </w:rPr>
        <w:t>aanbeveling</w:t>
      </w:r>
      <w:proofErr w:type="spellEnd"/>
      <w:r w:rsidRPr="00FB20DC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FB20DC">
        <w:rPr>
          <w:rFonts w:ascii="Verdana" w:hAnsi="Verdana" w:cs="Arial"/>
          <w:sz w:val="18"/>
          <w:szCs w:val="18"/>
          <w:lang w:val="fr-BE"/>
        </w:rPr>
        <w:t>voor</w:t>
      </w:r>
      <w:proofErr w:type="spellEnd"/>
      <w:r w:rsidRPr="00FB20DC">
        <w:rPr>
          <w:rFonts w:ascii="Verdana" w:hAnsi="Verdana" w:cs="Arial"/>
          <w:sz w:val="18"/>
          <w:szCs w:val="18"/>
          <w:lang w:val="fr-BE"/>
        </w:rPr>
        <w:t xml:space="preserve"> het </w:t>
      </w:r>
      <w:proofErr w:type="spellStart"/>
      <w:r w:rsidRPr="00FB20DC">
        <w:rPr>
          <w:rFonts w:ascii="Verdana" w:hAnsi="Verdana" w:cs="Arial"/>
          <w:sz w:val="18"/>
          <w:szCs w:val="18"/>
          <w:lang w:val="fr-BE"/>
        </w:rPr>
        <w:t>signaal</w:t>
      </w:r>
      <w:proofErr w:type="spellEnd"/>
      <w:r w:rsidRPr="00FB20DC">
        <w:rPr>
          <w:rFonts w:ascii="Verdana" w:hAnsi="Verdana" w:cs="Arial"/>
          <w:sz w:val="18"/>
          <w:szCs w:val="18"/>
          <w:lang w:val="fr-BE"/>
        </w:rPr>
        <w:t xml:space="preserve"> </w:t>
      </w:r>
      <w:r w:rsidR="00782F26" w:rsidRPr="008C7774">
        <w:rPr>
          <w:rFonts w:ascii="Verdana" w:hAnsi="Verdana" w:cs="Arial"/>
          <w:sz w:val="18"/>
          <w:szCs w:val="18"/>
          <w:lang w:val="fr-BE"/>
        </w:rPr>
        <w:t>« 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Paracetamol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- Drug-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induced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Stevens-Johnson syndrome (SJS),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toxic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epidermal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necrolysis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(TEN), and acute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generalised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exanthematous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pustulosis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 (AGEP)</w:t>
      </w:r>
      <w:r w:rsidR="00782F26" w:rsidRPr="008C7774">
        <w:rPr>
          <w:rFonts w:ascii="Verdana" w:hAnsi="Verdana" w:cs="Arial"/>
          <w:sz w:val="18"/>
          <w:szCs w:val="18"/>
          <w:lang w:val="fr-BE"/>
        </w:rPr>
        <w:t> »</w:t>
      </w:r>
      <w:r w:rsidRPr="008C7774">
        <w:rPr>
          <w:rFonts w:ascii="Verdana" w:hAnsi="Verdana" w:cs="Arial"/>
          <w:sz w:val="18"/>
          <w:szCs w:val="18"/>
          <w:lang w:val="fr-BE"/>
        </w:rPr>
        <w:t xml:space="preserve"> (</w:t>
      </w:r>
      <w:proofErr w:type="spellStart"/>
      <w:r w:rsidRPr="008C7774">
        <w:rPr>
          <w:rFonts w:ascii="Verdana" w:hAnsi="Verdana" w:cs="Arial"/>
          <w:sz w:val="18"/>
          <w:szCs w:val="18"/>
          <w:lang w:val="fr-BE"/>
        </w:rPr>
        <w:t>Ref</w:t>
      </w:r>
      <w:proofErr w:type="spellEnd"/>
      <w:r w:rsidRPr="008C7774">
        <w:rPr>
          <w:rFonts w:ascii="Verdana" w:hAnsi="Verdana" w:cs="Arial"/>
          <w:sz w:val="18"/>
          <w:szCs w:val="18"/>
          <w:lang w:val="fr-BE"/>
        </w:rPr>
        <w:t xml:space="preserve">.: </w:t>
      </w:r>
      <w:hyperlink r:id="rId17" w:history="1">
        <w:r w:rsidRPr="00844373">
          <w:rPr>
            <w:rStyle w:val="Hyperlink"/>
            <w:rFonts w:ascii="Verdana" w:hAnsi="Verdana" w:cs="Arial"/>
            <w:sz w:val="18"/>
            <w:szCs w:val="18"/>
            <w:lang w:val="fr-BE"/>
          </w:rPr>
          <w:t xml:space="preserve">EMA/PRAC/65788/2014, 24 </w:t>
        </w:r>
        <w:proofErr w:type="spellStart"/>
        <w:r w:rsidRPr="00844373">
          <w:rPr>
            <w:rStyle w:val="Hyperlink"/>
            <w:rFonts w:ascii="Verdana" w:hAnsi="Verdana" w:cs="Arial"/>
            <w:sz w:val="18"/>
            <w:szCs w:val="18"/>
            <w:lang w:val="fr-BE"/>
          </w:rPr>
          <w:t>februari</w:t>
        </w:r>
        <w:proofErr w:type="spellEnd"/>
        <w:r w:rsidRPr="00844373">
          <w:rPr>
            <w:rStyle w:val="Hyperlink"/>
            <w:rFonts w:ascii="Verdana" w:hAnsi="Verdana" w:cs="Arial"/>
            <w:sz w:val="18"/>
            <w:szCs w:val="18"/>
            <w:lang w:val="fr-BE"/>
          </w:rPr>
          <w:t xml:space="preserve"> 2014</w:t>
        </w:r>
      </w:hyperlink>
      <w:r w:rsidRPr="00844373">
        <w:rPr>
          <w:rFonts w:ascii="Verdana" w:hAnsi="Verdana" w:cs="Arial"/>
          <w:sz w:val="18"/>
          <w:szCs w:val="18"/>
          <w:lang w:val="fr-BE"/>
        </w:rPr>
        <w:t xml:space="preserve">) </w:t>
      </w:r>
    </w:p>
    <w:p w14:paraId="2A019B24" w14:textId="68E35A9D" w:rsidR="00F763B8" w:rsidRPr="00AB67EE" w:rsidRDefault="00C72C4F" w:rsidP="00AB67EE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  <w:lang w:val="fr-BE"/>
        </w:rPr>
      </w:pPr>
      <w:r w:rsidRPr="00AB67EE">
        <w:rPr>
          <w:rFonts w:ascii="Verdana" w:hAnsi="Verdana"/>
          <w:sz w:val="18"/>
          <w:szCs w:val="18"/>
          <w:lang w:val="fr-BE"/>
        </w:rPr>
        <w:t xml:space="preserve">La recommandation du PRAC de septembre 2017 concernant la </w:t>
      </w:r>
      <w:proofErr w:type="spellStart"/>
      <w:r w:rsidRPr="00AB67EE">
        <w:rPr>
          <w:rFonts w:ascii="Verdana" w:hAnsi="Verdana"/>
          <w:sz w:val="18"/>
          <w:szCs w:val="18"/>
          <w:lang w:val="fr-BE"/>
        </w:rPr>
        <w:t>flucloxacilline</w:t>
      </w:r>
      <w:proofErr w:type="spellEnd"/>
      <w:r w:rsidRPr="00AB67EE">
        <w:rPr>
          <w:rFonts w:ascii="Verdana" w:hAnsi="Verdana"/>
          <w:sz w:val="18"/>
          <w:szCs w:val="18"/>
          <w:lang w:val="fr-BE"/>
        </w:rPr>
        <w:t xml:space="preserve"> utilisée de façon concomitante avec le paracétamol et le risque d’acidose métabolique à trou anionique élevé (AMTAE) </w:t>
      </w:r>
      <w:r w:rsidR="00350618" w:rsidRPr="00AB67EE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="00350618" w:rsidRPr="00AB67EE">
        <w:rPr>
          <w:rFonts w:ascii="Verdana" w:hAnsi="Verdana"/>
          <w:sz w:val="18"/>
          <w:szCs w:val="18"/>
          <w:lang w:val="fr-BE"/>
        </w:rPr>
        <w:t>Ref</w:t>
      </w:r>
      <w:proofErr w:type="spellEnd"/>
      <w:r w:rsidR="00350618" w:rsidRPr="00AB67EE">
        <w:rPr>
          <w:rFonts w:ascii="Verdana" w:hAnsi="Verdana"/>
          <w:sz w:val="18"/>
          <w:szCs w:val="18"/>
          <w:lang w:val="fr-BE"/>
        </w:rPr>
        <w:t xml:space="preserve">. </w:t>
      </w:r>
      <w:hyperlink r:id="rId18" w:history="1">
        <w:r w:rsidR="00350618" w:rsidRPr="00AB67EE">
          <w:rPr>
            <w:rStyle w:val="Hyperlink"/>
            <w:rFonts w:ascii="Verdana" w:hAnsi="Verdana"/>
            <w:sz w:val="18"/>
            <w:szCs w:val="18"/>
            <w:lang w:val="fr-BE"/>
          </w:rPr>
          <w:t xml:space="preserve">EMA/PRAC/610975/2017, 12 </w:t>
        </w:r>
        <w:proofErr w:type="spellStart"/>
        <w:r w:rsidR="00350618" w:rsidRPr="00AB67EE">
          <w:rPr>
            <w:rStyle w:val="Hyperlink"/>
            <w:rFonts w:ascii="Verdana" w:hAnsi="Verdana"/>
            <w:sz w:val="18"/>
            <w:szCs w:val="18"/>
            <w:lang w:val="fr-BE"/>
          </w:rPr>
          <w:t>October</w:t>
        </w:r>
        <w:proofErr w:type="spellEnd"/>
        <w:r w:rsidR="00350618" w:rsidRPr="00AB67EE">
          <w:rPr>
            <w:rStyle w:val="Hyperlink"/>
            <w:rFonts w:ascii="Verdana" w:hAnsi="Verdana"/>
            <w:sz w:val="18"/>
            <w:szCs w:val="18"/>
            <w:lang w:val="fr-BE"/>
          </w:rPr>
          <w:t xml:space="preserve"> 2017</w:t>
        </w:r>
      </w:hyperlink>
      <w:r w:rsidR="00350618" w:rsidRPr="00AB67EE">
        <w:rPr>
          <w:rFonts w:ascii="Verdana" w:hAnsi="Verdana"/>
          <w:sz w:val="18"/>
          <w:szCs w:val="18"/>
          <w:lang w:val="fr-BE"/>
        </w:rPr>
        <w:t>)</w:t>
      </w:r>
      <w:r w:rsidR="004F647B" w:rsidRPr="00AB67EE">
        <w:rPr>
          <w:rFonts w:ascii="Verdana" w:hAnsi="Verdana"/>
          <w:sz w:val="18"/>
          <w:szCs w:val="18"/>
          <w:lang w:val="fr-BE"/>
        </w:rPr>
        <w:t>.</w:t>
      </w:r>
      <w:r w:rsidR="004F647B" w:rsidRPr="00AB67EE" w:rsidDel="004F647B">
        <w:rPr>
          <w:rFonts w:ascii="Verdana" w:hAnsi="Verdana"/>
          <w:sz w:val="18"/>
          <w:szCs w:val="18"/>
          <w:lang w:val="fr-BE"/>
        </w:rPr>
        <w:t xml:space="preserve"> </w:t>
      </w:r>
    </w:p>
    <w:p w14:paraId="4A654EA1" w14:textId="6DCA58A5" w:rsidR="002038C0" w:rsidRPr="00AB67EE" w:rsidRDefault="00422712" w:rsidP="00AB67EE">
      <w:pPr>
        <w:pStyle w:val="Lijstalinea"/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hyperlink r:id="rId19" w:history="1"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La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recommandation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du PRAC de mars 2019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concernant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l’utilisation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du paracétamol pendant la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grossesse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et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l’impact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sur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le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neurodéveloppement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de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l’enfant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ou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sur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le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système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urogénital</w:t>
        </w:r>
        <w:proofErr w:type="spellEnd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 xml:space="preserve"> de </w:t>
        </w:r>
        <w:proofErr w:type="spellStart"/>
        <w:r w:rsidR="00C72C4F" w:rsidRPr="00AB67EE">
          <w:rPr>
            <w:rStyle w:val="Hyperlink"/>
            <w:rFonts w:ascii="Verdana" w:hAnsi="Verdana" w:cs="Arial"/>
            <w:sz w:val="18"/>
            <w:szCs w:val="18"/>
          </w:rPr>
          <w:t>l’enfant</w:t>
        </w:r>
        <w:proofErr w:type="spellEnd"/>
      </w:hyperlink>
      <w:r w:rsidR="00C72C4F" w:rsidRPr="00AB67EE">
        <w:rPr>
          <w:rFonts w:ascii="Verdana" w:hAnsi="Verdana" w:cs="Arial"/>
          <w:sz w:val="18"/>
          <w:szCs w:val="18"/>
          <w:lang w:val="fr-BE"/>
        </w:rPr>
        <w:t xml:space="preserve"> </w:t>
      </w:r>
      <w:r w:rsidR="00350618" w:rsidRPr="00AB67EE">
        <w:rPr>
          <w:rFonts w:ascii="Verdana" w:hAnsi="Verdana" w:cs="Arial"/>
          <w:sz w:val="18"/>
          <w:szCs w:val="18"/>
          <w:lang w:val="fr-BE"/>
        </w:rPr>
        <w:t>(</w:t>
      </w:r>
      <w:proofErr w:type="spellStart"/>
      <w:r w:rsidR="00350618" w:rsidRPr="00AB67EE">
        <w:rPr>
          <w:rFonts w:ascii="Verdana" w:hAnsi="Verdana" w:cs="Arial"/>
          <w:sz w:val="18"/>
          <w:szCs w:val="18"/>
          <w:lang w:val="fr-BE"/>
        </w:rPr>
        <w:t>Ref</w:t>
      </w:r>
      <w:proofErr w:type="spellEnd"/>
      <w:r w:rsidR="00350618" w:rsidRPr="00AB67EE">
        <w:rPr>
          <w:rFonts w:ascii="Verdana" w:hAnsi="Verdana" w:cs="Arial"/>
          <w:sz w:val="18"/>
          <w:szCs w:val="18"/>
          <w:lang w:val="fr-BE"/>
        </w:rPr>
        <w:t>. EMA/PRAC/157165/2019, 8 April 2019)</w:t>
      </w:r>
      <w:r w:rsidR="004F647B" w:rsidRPr="00844373">
        <w:rPr>
          <w:rFonts w:ascii="Verdana" w:hAnsi="Verdana" w:cs="Arial"/>
          <w:sz w:val="18"/>
          <w:szCs w:val="18"/>
          <w:lang w:val="fr-BE"/>
        </w:rPr>
        <w:t>.</w:t>
      </w:r>
    </w:p>
    <w:p w14:paraId="2B8651C1" w14:textId="77777777" w:rsidR="002038C0" w:rsidRPr="00AB67EE" w:rsidRDefault="002038C0" w:rsidP="006947BE">
      <w:pPr>
        <w:rPr>
          <w:rFonts w:ascii="Verdana" w:hAnsi="Verdana" w:cs="Arial"/>
          <w:sz w:val="18"/>
          <w:szCs w:val="18"/>
          <w:lang w:val="fr-BE"/>
        </w:rPr>
      </w:pPr>
    </w:p>
    <w:p w14:paraId="5AFB15BB" w14:textId="648C42AE" w:rsidR="002038C0" w:rsidRPr="00AB67EE" w:rsidRDefault="002038C0" w:rsidP="006947BE">
      <w:pPr>
        <w:rPr>
          <w:rFonts w:ascii="Verdana" w:hAnsi="Verdana" w:cs="Arial"/>
          <w:sz w:val="18"/>
          <w:szCs w:val="18"/>
          <w:lang w:val="fr-BE"/>
        </w:rPr>
      </w:pPr>
    </w:p>
    <w:sectPr w:rsidR="002038C0" w:rsidRPr="00AB67EE" w:rsidSect="006947BE">
      <w:footerReference w:type="even" r:id="rId20"/>
      <w:footerReference w:type="default" r:id="rId21"/>
      <w:footerReference w:type="first" r:id="rId22"/>
      <w:footnotePr>
        <w:numFmt w:val="lowerLetter"/>
      </w:footnotePr>
      <w:endnotePr>
        <w:numFmt w:val="decimal"/>
        <w:numStart w:val="2"/>
      </w:endnotePr>
      <w:type w:val="continuous"/>
      <w:pgSz w:w="11906" w:h="16838"/>
      <w:pgMar w:top="1134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014DF" w14:textId="77777777" w:rsidR="005B079D" w:rsidRDefault="005B079D">
      <w:r>
        <w:separator/>
      </w:r>
    </w:p>
  </w:endnote>
  <w:endnote w:type="continuationSeparator" w:id="0">
    <w:p w14:paraId="791BBF64" w14:textId="77777777" w:rsidR="005B079D" w:rsidRDefault="005B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5EFE" w14:textId="77777777" w:rsidR="005B079D" w:rsidRDefault="005B079D" w:rsidP="00953CF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1FAEDDF" w14:textId="77777777" w:rsidR="005B079D" w:rsidRDefault="005B079D" w:rsidP="00D5269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6CCB" w14:textId="5F226F58" w:rsidR="0016489E" w:rsidRDefault="005B079D" w:rsidP="0016489E">
    <w:pPr>
      <w:pStyle w:val="Voettekst"/>
      <w:rPr>
        <w:rFonts w:ascii="Verdana" w:hAnsi="Verdana" w:cstheme="minorHAnsi"/>
        <w:sz w:val="16"/>
        <w:szCs w:val="16"/>
        <w:lang w:val="fr-BE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55443F" wp14:editId="402FA028">
          <wp:simplePos x="0" y="0"/>
          <wp:positionH relativeFrom="column">
            <wp:posOffset>-1270</wp:posOffset>
          </wp:positionH>
          <wp:positionV relativeFrom="paragraph">
            <wp:posOffset>117837</wp:posOffset>
          </wp:positionV>
          <wp:extent cx="255600" cy="360000"/>
          <wp:effectExtent l="0" t="0" r="0" b="2540"/>
          <wp:wrapNone/>
          <wp:docPr id="5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mbo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sz w:val="16"/>
        <w:szCs w:val="16"/>
        <w:lang w:val="fr-BE"/>
      </w:rPr>
      <w:tab/>
    </w:r>
  </w:p>
  <w:p w14:paraId="7E2D45FB" w14:textId="0521A946" w:rsidR="0016489E" w:rsidRDefault="0016489E" w:rsidP="00FE5888">
    <w:pPr>
      <w:pStyle w:val="Voettekst"/>
      <w:tabs>
        <w:tab w:val="clear" w:pos="8640"/>
        <w:tab w:val="right" w:pos="9214"/>
      </w:tabs>
      <w:rPr>
        <w:rFonts w:ascii="Verdana" w:hAnsi="Verdana" w:cstheme="minorHAnsi"/>
        <w:sz w:val="16"/>
        <w:szCs w:val="16"/>
        <w:lang w:val="fr-B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9F031D" wp14:editId="26CF16DC">
          <wp:simplePos x="0" y="0"/>
          <wp:positionH relativeFrom="column">
            <wp:posOffset>5963285</wp:posOffset>
          </wp:positionH>
          <wp:positionV relativeFrom="paragraph">
            <wp:posOffset>104775</wp:posOffset>
          </wp:positionV>
          <wp:extent cx="337820" cy="250190"/>
          <wp:effectExtent l="0" t="0" r="5080" b="0"/>
          <wp:wrapNone/>
          <wp:docPr id="6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sz w:val="16"/>
        <w:szCs w:val="16"/>
        <w:lang w:val="fr-BE"/>
      </w:rPr>
      <w:tab/>
    </w:r>
  </w:p>
  <w:p w14:paraId="75B85DC9" w14:textId="3467973C" w:rsidR="005B079D" w:rsidRPr="00142DDB" w:rsidRDefault="0016489E" w:rsidP="00FE5888">
    <w:pPr>
      <w:pStyle w:val="Voettekst"/>
      <w:tabs>
        <w:tab w:val="clear" w:pos="8640"/>
        <w:tab w:val="right" w:pos="9214"/>
      </w:tabs>
      <w:rPr>
        <w:rFonts w:ascii="Verdana" w:hAnsi="Verdana"/>
        <w:sz w:val="16"/>
        <w:szCs w:val="16"/>
      </w:rPr>
    </w:pPr>
    <w:r>
      <w:rPr>
        <w:rFonts w:ascii="Verdana" w:hAnsi="Verdana" w:cstheme="minorHAnsi"/>
        <w:sz w:val="16"/>
        <w:szCs w:val="16"/>
        <w:lang w:val="fr-BE"/>
      </w:rPr>
      <w:tab/>
    </w:r>
    <w:r w:rsidR="005B079D" w:rsidRPr="00AB67EE">
      <w:rPr>
        <w:rFonts w:ascii="Verdana" w:hAnsi="Verdana" w:cstheme="minorHAnsi"/>
        <w:sz w:val="16"/>
        <w:szCs w:val="16"/>
        <w:lang w:val="fr-BE"/>
      </w:rPr>
      <w:t>DG POST</w:t>
    </w:r>
    <w:r w:rsidR="005B079D" w:rsidRPr="00AB67EE">
      <w:rPr>
        <w:rFonts w:ascii="Verdana" w:hAnsi="Verdana" w:cstheme="minorHAnsi"/>
        <w:noProof/>
        <w:color w:val="404040"/>
        <w:sz w:val="16"/>
        <w:szCs w:val="16"/>
        <w:lang w:val="fr-BE" w:eastAsia="fr-BE"/>
      </w:rPr>
      <w:t xml:space="preserve"> autorisation/division Vigil</w:t>
    </w:r>
    <w:r w:rsidR="005B079D">
      <w:rPr>
        <w:rFonts w:ascii="Verdana" w:hAnsi="Verdana" w:cstheme="minorHAnsi"/>
        <w:noProof/>
        <w:color w:val="404040"/>
        <w:sz w:val="16"/>
        <w:szCs w:val="16"/>
        <w:lang w:val="fr-BE" w:eastAsia="fr-BE"/>
      </w:rPr>
      <w:t>ance</w:t>
    </w:r>
    <w:r w:rsidR="005B079D" w:rsidRPr="006947BE">
      <w:rPr>
        <w:rFonts w:ascii="Verdana" w:hAnsi="Verdana" w:cstheme="minorHAnsi"/>
        <w:noProof/>
        <w:color w:val="404040"/>
        <w:sz w:val="16"/>
        <w:szCs w:val="16"/>
        <w:lang w:val="fr-BE" w:eastAsia="fr-BE"/>
      </w:rPr>
      <w:t>/</w:t>
    </w:r>
    <w:r w:rsidR="005B079D" w:rsidRPr="00EB6621">
      <w:rPr>
        <w:rFonts w:ascii="Verdana" w:hAnsi="Verdana" w:cstheme="minorHAnsi"/>
        <w:noProof/>
        <w:color w:val="404040"/>
        <w:sz w:val="16"/>
        <w:szCs w:val="16"/>
        <w:lang w:val="fr-BE" w:eastAsia="fr-BE"/>
      </w:rPr>
      <w:t>cellule Ph</w:t>
    </w:r>
    <w:r w:rsidR="005B079D">
      <w:rPr>
        <w:rFonts w:ascii="Verdana" w:hAnsi="Verdana" w:cstheme="minorHAnsi"/>
        <w:noProof/>
        <w:color w:val="404040"/>
        <w:sz w:val="16"/>
        <w:szCs w:val="16"/>
        <w:lang w:val="fr-BE" w:eastAsia="fr-BE"/>
      </w:rPr>
      <w:t>V</w:t>
    </w:r>
    <w:r w:rsidR="005B079D" w:rsidRPr="00EB6621">
      <w:rPr>
        <w:rFonts w:ascii="Verdana" w:hAnsi="Verdana" w:cstheme="minorHAnsi"/>
        <w:noProof/>
        <w:color w:val="404040"/>
        <w:sz w:val="16"/>
        <w:szCs w:val="16"/>
        <w:lang w:val="fr-BE" w:eastAsia="fr-BE"/>
      </w:rPr>
      <w:t>/Évaluation</w:t>
    </w:r>
    <w:r w:rsidR="005B079D">
      <w:rPr>
        <w:rFonts w:ascii="Verdana" w:hAnsi="Verdana" w:cstheme="minorHAnsi"/>
        <w:noProof/>
        <w:color w:val="404040"/>
        <w:sz w:val="16"/>
        <w:szCs w:val="16"/>
        <w:lang w:val="fr-BE" w:eastAsia="fr-BE"/>
      </w:rPr>
      <w:t xml:space="preserve"> –</w:t>
    </w:r>
    <w:r w:rsidR="005B079D" w:rsidRPr="00AB67EE">
      <w:rPr>
        <w:rFonts w:ascii="Verdana" w:hAnsi="Verdana" w:cstheme="minorHAnsi"/>
        <w:noProof/>
        <w:color w:val="404040"/>
        <w:sz w:val="16"/>
        <w:szCs w:val="16"/>
        <w:lang w:val="fr-BE" w:eastAsia="fr-BE"/>
      </w:rPr>
      <w:t xml:space="preserve"> </w:t>
    </w:r>
    <w:r w:rsidR="005B079D" w:rsidRPr="00AB67EE">
      <w:rPr>
        <w:rFonts w:ascii="Verdana" w:hAnsi="Verdana"/>
        <w:sz w:val="16"/>
        <w:szCs w:val="16"/>
        <w:lang w:val="fr-BE"/>
      </w:rPr>
      <w:t>versi</w:t>
    </w:r>
    <w:r w:rsidR="005B079D">
      <w:rPr>
        <w:rFonts w:ascii="Verdana" w:hAnsi="Verdana"/>
        <w:sz w:val="16"/>
        <w:szCs w:val="16"/>
        <w:lang w:val="fr-BE"/>
      </w:rPr>
      <w:t>on</w:t>
    </w:r>
    <w:r w:rsidR="005B079D" w:rsidRPr="00AB67EE">
      <w:rPr>
        <w:rFonts w:ascii="Verdana" w:hAnsi="Verdana"/>
        <w:sz w:val="16"/>
        <w:szCs w:val="16"/>
        <w:lang w:val="fr-BE"/>
      </w:rPr>
      <w:t xml:space="preserve"> 1.2 – 25.09.2019</w:t>
    </w:r>
    <w:r w:rsidR="00FE5888">
      <w:rPr>
        <w:rFonts w:ascii="Verdana" w:hAnsi="Verdana"/>
        <w:sz w:val="16"/>
        <w:szCs w:val="16"/>
        <w:lang w:val="fr-BE"/>
      </w:rPr>
      <w:tab/>
    </w:r>
    <w:r w:rsidR="005B079D" w:rsidRPr="00AB67EE">
      <w:rPr>
        <w:rFonts w:ascii="Verdana" w:hAnsi="Verdana"/>
        <w:sz w:val="16"/>
        <w:szCs w:val="16"/>
        <w:lang w:val="fr-BE"/>
      </w:rPr>
      <w:t xml:space="preserve">Page </w:t>
    </w:r>
    <w:r w:rsidR="005B079D" w:rsidRPr="003A1D28">
      <w:rPr>
        <w:rFonts w:ascii="Verdana" w:hAnsi="Verdana"/>
        <w:bCs/>
        <w:sz w:val="16"/>
        <w:szCs w:val="16"/>
      </w:rPr>
      <w:fldChar w:fldCharType="begin"/>
    </w:r>
    <w:r w:rsidR="005B079D" w:rsidRPr="003A1D28">
      <w:rPr>
        <w:rFonts w:ascii="Verdana" w:hAnsi="Verdana"/>
        <w:bCs/>
        <w:sz w:val="16"/>
        <w:szCs w:val="16"/>
      </w:rPr>
      <w:instrText>PAGE  \* Arabic  \* MERGEFORMAT</w:instrText>
    </w:r>
    <w:r w:rsidR="005B079D" w:rsidRPr="003A1D28">
      <w:rPr>
        <w:rFonts w:ascii="Verdana" w:hAnsi="Verdana"/>
        <w:bCs/>
        <w:sz w:val="16"/>
        <w:szCs w:val="16"/>
      </w:rPr>
      <w:fldChar w:fldCharType="separate"/>
    </w:r>
    <w:r w:rsidR="00422712">
      <w:rPr>
        <w:rFonts w:ascii="Verdana" w:hAnsi="Verdana"/>
        <w:bCs/>
        <w:noProof/>
        <w:sz w:val="16"/>
        <w:szCs w:val="16"/>
      </w:rPr>
      <w:t>7</w:t>
    </w:r>
    <w:r w:rsidR="005B079D" w:rsidRPr="003A1D28">
      <w:rPr>
        <w:rFonts w:ascii="Verdana" w:hAnsi="Verdana"/>
        <w:bCs/>
        <w:sz w:val="16"/>
        <w:szCs w:val="16"/>
      </w:rPr>
      <w:fldChar w:fldCharType="end"/>
    </w:r>
    <w:r w:rsidR="005B079D">
      <w:rPr>
        <w:rFonts w:ascii="Verdana" w:hAnsi="Verdana"/>
        <w:sz w:val="16"/>
        <w:szCs w:val="16"/>
      </w:rPr>
      <w:t xml:space="preserve"> de</w:t>
    </w:r>
    <w:r w:rsidR="005B079D" w:rsidRPr="00142DDB">
      <w:rPr>
        <w:rFonts w:ascii="Verdana" w:hAnsi="Verdana"/>
        <w:sz w:val="16"/>
        <w:szCs w:val="16"/>
      </w:rPr>
      <w:t xml:space="preserve"> </w:t>
    </w:r>
    <w:r w:rsidR="005B079D" w:rsidRPr="003A1D28">
      <w:rPr>
        <w:rFonts w:ascii="Verdana" w:hAnsi="Verdana"/>
        <w:bCs/>
        <w:sz w:val="16"/>
        <w:szCs w:val="16"/>
      </w:rPr>
      <w:fldChar w:fldCharType="begin"/>
    </w:r>
    <w:r w:rsidR="005B079D" w:rsidRPr="003A1D28">
      <w:rPr>
        <w:rFonts w:ascii="Verdana" w:hAnsi="Verdana"/>
        <w:bCs/>
        <w:sz w:val="16"/>
        <w:szCs w:val="16"/>
      </w:rPr>
      <w:instrText>NUMPAGES  \* Arabic  \* MERGEFORMAT</w:instrText>
    </w:r>
    <w:r w:rsidR="005B079D" w:rsidRPr="003A1D28">
      <w:rPr>
        <w:rFonts w:ascii="Verdana" w:hAnsi="Verdana"/>
        <w:bCs/>
        <w:sz w:val="16"/>
        <w:szCs w:val="16"/>
      </w:rPr>
      <w:fldChar w:fldCharType="separate"/>
    </w:r>
    <w:r w:rsidR="00422712">
      <w:rPr>
        <w:rFonts w:ascii="Verdana" w:hAnsi="Verdana"/>
        <w:bCs/>
        <w:noProof/>
        <w:sz w:val="16"/>
        <w:szCs w:val="16"/>
      </w:rPr>
      <w:t>7</w:t>
    </w:r>
    <w:r w:rsidR="005B079D" w:rsidRPr="003A1D28">
      <w:rPr>
        <w:rFonts w:ascii="Verdana" w:hAnsi="Verdan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4B464" w14:textId="77777777" w:rsidR="005B079D" w:rsidRPr="003A1D28" w:rsidRDefault="005B079D" w:rsidP="000F7560">
    <w:pPr>
      <w:pStyle w:val="Koptekst"/>
      <w:rPr>
        <w:rFonts w:ascii="Verdana" w:hAnsi="Verdana"/>
        <w:sz w:val="16"/>
        <w:szCs w:val="16"/>
        <w:lang w:val="nl-BE"/>
      </w:rPr>
    </w:pPr>
  </w:p>
  <w:p w14:paraId="7F99324C" w14:textId="77777777" w:rsidR="005B079D" w:rsidRDefault="005B079D" w:rsidP="000F7560"/>
  <w:p w14:paraId="332B82E0" w14:textId="0A179043" w:rsidR="005B079D" w:rsidRPr="00AB67EE" w:rsidRDefault="005B079D" w:rsidP="000F7560">
    <w:pPr>
      <w:pStyle w:val="Voettekst"/>
      <w:jc w:val="center"/>
      <w:rPr>
        <w:rFonts w:ascii="Verdana" w:hAnsi="Verdana"/>
        <w:b/>
        <w:bCs/>
        <w:sz w:val="16"/>
        <w:szCs w:val="16"/>
        <w:lang w:val="fr-BE"/>
      </w:rPr>
    </w:pPr>
    <w:r w:rsidRPr="00AB67EE">
      <w:rPr>
        <w:rFonts w:ascii="Verdana" w:hAnsi="Verdana" w:cstheme="minorHAnsi"/>
        <w:sz w:val="16"/>
        <w:szCs w:val="16"/>
        <w:lang w:val="fr-BE"/>
      </w:rPr>
      <w:t>DG POST</w:t>
    </w:r>
    <w:r w:rsidRPr="00AB67EE">
      <w:rPr>
        <w:rFonts w:ascii="Verdana" w:hAnsi="Verdana" w:cstheme="minorHAnsi"/>
        <w:noProof/>
        <w:color w:val="404040"/>
        <w:sz w:val="16"/>
        <w:szCs w:val="16"/>
        <w:lang w:val="fr-BE" w:eastAsia="fr-BE"/>
      </w:rPr>
      <w:t xml:space="preserve"> autorisation/division </w:t>
    </w:r>
    <w:r>
      <w:rPr>
        <w:rFonts w:ascii="Verdana" w:hAnsi="Verdana" w:cstheme="minorHAnsi"/>
        <w:noProof/>
        <w:color w:val="404040"/>
        <w:sz w:val="16"/>
        <w:szCs w:val="16"/>
        <w:lang w:val="fr-BE" w:eastAsia="fr-BE"/>
      </w:rPr>
      <w:t>Vigilance/Cel Humane PhV/Evaluation</w:t>
    </w:r>
    <w:r w:rsidRPr="00AB67EE">
      <w:rPr>
        <w:rFonts w:ascii="Verdana" w:hAnsi="Verdana" w:cstheme="minorHAnsi"/>
        <w:noProof/>
        <w:color w:val="404040"/>
        <w:sz w:val="16"/>
        <w:szCs w:val="16"/>
        <w:lang w:val="fr-BE" w:eastAsia="fr-BE"/>
      </w:rPr>
      <w:t xml:space="preserve"> </w:t>
    </w:r>
    <w:r>
      <w:rPr>
        <w:rFonts w:ascii="Verdana" w:hAnsi="Verdana" w:cstheme="minorHAnsi"/>
        <w:noProof/>
        <w:color w:val="404040"/>
        <w:sz w:val="16"/>
        <w:szCs w:val="16"/>
        <w:lang w:val="fr-BE" w:eastAsia="fr-BE"/>
      </w:rPr>
      <w:t>–</w:t>
    </w:r>
    <w:r w:rsidRPr="00AB67EE">
      <w:rPr>
        <w:rFonts w:ascii="Verdana" w:hAnsi="Verdana" w:cstheme="minorHAnsi"/>
        <w:noProof/>
        <w:color w:val="404040"/>
        <w:sz w:val="16"/>
        <w:szCs w:val="16"/>
        <w:lang w:val="fr-BE" w:eastAsia="fr-BE"/>
      </w:rPr>
      <w:t xml:space="preserve"> </w:t>
    </w:r>
    <w:r w:rsidRPr="00AB67EE">
      <w:rPr>
        <w:rFonts w:ascii="Verdana" w:hAnsi="Verdana"/>
        <w:sz w:val="16"/>
        <w:szCs w:val="16"/>
        <w:lang w:val="fr-BE"/>
      </w:rPr>
      <w:t>versi</w:t>
    </w:r>
    <w:r>
      <w:rPr>
        <w:rFonts w:ascii="Verdana" w:hAnsi="Verdana"/>
        <w:sz w:val="16"/>
        <w:szCs w:val="16"/>
        <w:lang w:val="fr-BE"/>
      </w:rPr>
      <w:t>on</w:t>
    </w:r>
    <w:r w:rsidRPr="00AB67EE">
      <w:rPr>
        <w:rFonts w:ascii="Verdana" w:hAnsi="Verdana"/>
        <w:sz w:val="16"/>
        <w:szCs w:val="16"/>
        <w:lang w:val="fr-BE"/>
      </w:rPr>
      <w:t xml:space="preserve"> 1.2 – 25.09.2019</w:t>
    </w:r>
  </w:p>
  <w:p w14:paraId="27488931" w14:textId="7B748DA1" w:rsidR="005B079D" w:rsidRPr="00142DDB" w:rsidRDefault="005B079D" w:rsidP="000F7560">
    <w:pPr>
      <w:pStyle w:val="Voettekst"/>
      <w:tabs>
        <w:tab w:val="right" w:pos="9638"/>
      </w:tabs>
      <w:rPr>
        <w:rFonts w:ascii="Verdana" w:hAnsi="Verdana"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24C3F106" wp14:editId="0C022CF4">
          <wp:extent cx="255600" cy="360000"/>
          <wp:effectExtent l="0" t="0" r="0" b="254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mbo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67EE">
      <w:rPr>
        <w:lang w:val="fr-BE"/>
      </w:rPr>
      <w:tab/>
    </w:r>
    <w:r>
      <w:rPr>
        <w:rFonts w:ascii="Verdana" w:hAnsi="Verdana"/>
        <w:sz w:val="16"/>
        <w:szCs w:val="16"/>
        <w:lang w:val="fr-BE"/>
      </w:rPr>
      <w:t>Page</w:t>
    </w:r>
    <w:r w:rsidRPr="00AB67EE">
      <w:rPr>
        <w:rFonts w:ascii="Verdana" w:hAnsi="Verdana"/>
        <w:sz w:val="16"/>
        <w:szCs w:val="16"/>
        <w:lang w:val="fr-BE"/>
      </w:rPr>
      <w:t xml:space="preserve"> </w:t>
    </w:r>
    <w:r w:rsidRPr="003A1D28">
      <w:rPr>
        <w:rFonts w:ascii="Verdana" w:hAnsi="Verdana"/>
        <w:bCs/>
        <w:sz w:val="16"/>
        <w:szCs w:val="16"/>
      </w:rPr>
      <w:fldChar w:fldCharType="begin"/>
    </w:r>
    <w:r w:rsidRPr="003A1D28">
      <w:rPr>
        <w:rFonts w:ascii="Verdana" w:hAnsi="Verdana"/>
        <w:bCs/>
        <w:sz w:val="16"/>
        <w:szCs w:val="16"/>
      </w:rPr>
      <w:instrText>PAGE  \* Arabic  \* MERGEFORMAT</w:instrText>
    </w:r>
    <w:r w:rsidRPr="003A1D28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1</w:t>
    </w:r>
    <w:r w:rsidRPr="003A1D28">
      <w:rPr>
        <w:rFonts w:ascii="Verdana" w:hAnsi="Verdana"/>
        <w:bCs/>
        <w:sz w:val="16"/>
        <w:szCs w:val="16"/>
      </w:rPr>
      <w:fldChar w:fldCharType="end"/>
    </w:r>
    <w:r w:rsidRPr="00142DDB">
      <w:rPr>
        <w:rFonts w:ascii="Verdana" w:hAnsi="Verdana"/>
        <w:sz w:val="16"/>
        <w:szCs w:val="16"/>
      </w:rPr>
      <w:t xml:space="preserve"> van </w:t>
    </w:r>
    <w:r w:rsidRPr="003A1D28">
      <w:rPr>
        <w:rFonts w:ascii="Verdana" w:hAnsi="Verdana"/>
        <w:bCs/>
        <w:sz w:val="16"/>
        <w:szCs w:val="16"/>
      </w:rPr>
      <w:fldChar w:fldCharType="begin"/>
    </w:r>
    <w:r w:rsidRPr="003A1D28">
      <w:rPr>
        <w:rFonts w:ascii="Verdana" w:hAnsi="Verdana"/>
        <w:bCs/>
        <w:sz w:val="16"/>
        <w:szCs w:val="16"/>
      </w:rPr>
      <w:instrText>NUMPAGES  \* Arabic  \* MERGEFORMAT</w:instrText>
    </w:r>
    <w:r w:rsidRPr="003A1D28">
      <w:rPr>
        <w:rFonts w:ascii="Verdana" w:hAnsi="Verdana"/>
        <w:bCs/>
        <w:sz w:val="16"/>
        <w:szCs w:val="16"/>
      </w:rPr>
      <w:fldChar w:fldCharType="separate"/>
    </w:r>
    <w:r w:rsidR="00422712">
      <w:rPr>
        <w:rFonts w:ascii="Verdana" w:hAnsi="Verdana"/>
        <w:bCs/>
        <w:noProof/>
        <w:sz w:val="16"/>
        <w:szCs w:val="16"/>
      </w:rPr>
      <w:t>7</w:t>
    </w:r>
    <w:r w:rsidRPr="003A1D28">
      <w:rPr>
        <w:rFonts w:ascii="Verdana" w:hAnsi="Verdana"/>
        <w:bCs/>
        <w:sz w:val="16"/>
        <w:szCs w:val="16"/>
      </w:rPr>
      <w:fldChar w:fldCharType="end"/>
    </w:r>
    <w:r>
      <w:tab/>
    </w:r>
    <w:r>
      <w:rPr>
        <w:noProof/>
        <w:lang w:val="en-GB" w:eastAsia="en-GB"/>
      </w:rPr>
      <w:drawing>
        <wp:inline distT="0" distB="0" distL="0" distR="0" wp14:anchorId="4A8341D7" wp14:editId="2881AD99">
          <wp:extent cx="337970" cy="250348"/>
          <wp:effectExtent l="0" t="0" r="508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04" cy="25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0DDE7" w14:textId="09291BA4" w:rsidR="005B079D" w:rsidRPr="00417DA9" w:rsidRDefault="005B079D">
    <w:pPr>
      <w:pStyle w:val="Voetteks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40441" w14:textId="77777777" w:rsidR="005B079D" w:rsidRDefault="005B079D">
      <w:r>
        <w:separator/>
      </w:r>
    </w:p>
  </w:footnote>
  <w:footnote w:type="continuationSeparator" w:id="0">
    <w:p w14:paraId="5CF832D0" w14:textId="77777777" w:rsidR="005B079D" w:rsidRDefault="005B079D">
      <w:r>
        <w:continuationSeparator/>
      </w:r>
    </w:p>
  </w:footnote>
  <w:footnote w:id="1">
    <w:p w14:paraId="4205C0ED" w14:textId="6681BA6B" w:rsidR="005B079D" w:rsidRPr="00A83601" w:rsidRDefault="005B079D" w:rsidP="0016489E">
      <w:pPr>
        <w:tabs>
          <w:tab w:val="left" w:pos="480"/>
        </w:tabs>
        <w:jc w:val="both"/>
        <w:rPr>
          <w:lang w:val="fr-BE"/>
        </w:rPr>
      </w:pPr>
      <w:r w:rsidRPr="00AB67EE">
        <w:rPr>
          <w:rStyle w:val="Voetnootmarkering"/>
          <w:rFonts w:ascii="Verdana" w:hAnsi="Verdana"/>
          <w:sz w:val="16"/>
          <w:szCs w:val="16"/>
        </w:rPr>
        <w:footnoteRef/>
      </w:r>
      <w:r w:rsidRPr="00AB67EE">
        <w:rPr>
          <w:rFonts w:ascii="Verdana" w:hAnsi="Verdana"/>
          <w:sz w:val="16"/>
          <w:szCs w:val="16"/>
          <w:lang w:val="en-US"/>
        </w:rPr>
        <w:t xml:space="preserve"> </w:t>
      </w:r>
      <w:r w:rsidRPr="00AB67EE">
        <w:rPr>
          <w:rFonts w:ascii="Verdana" w:hAnsi="Verdana" w:cs="Arial"/>
          <w:sz w:val="16"/>
          <w:szCs w:val="16"/>
          <w:lang w:val="en-US"/>
        </w:rPr>
        <w:t xml:space="preserve">La phrase </w:t>
      </w:r>
      <w:proofErr w:type="spellStart"/>
      <w:r w:rsidRPr="00AB67EE">
        <w:rPr>
          <w:rFonts w:ascii="Verdana" w:hAnsi="Verdana" w:cs="Arial"/>
          <w:sz w:val="16"/>
          <w:szCs w:val="16"/>
          <w:lang w:val="en-US"/>
        </w:rPr>
        <w:t>suivante</w:t>
      </w:r>
      <w:proofErr w:type="spellEnd"/>
      <w:r w:rsidRPr="00AB67EE">
        <w:rPr>
          <w:rFonts w:ascii="Verdana" w:hAnsi="Verdana" w:cs="Arial"/>
          <w:sz w:val="16"/>
          <w:szCs w:val="16"/>
          <w:lang w:val="en-US"/>
        </w:rPr>
        <w:t xml:space="preserve"> a déjà </w:t>
      </w:r>
      <w:proofErr w:type="spellStart"/>
      <w:r w:rsidRPr="00AB67EE">
        <w:rPr>
          <w:rFonts w:ascii="Verdana" w:hAnsi="Verdana" w:cs="Arial"/>
          <w:sz w:val="16"/>
          <w:szCs w:val="16"/>
          <w:lang w:val="en-US"/>
        </w:rPr>
        <w:t>été</w:t>
      </w:r>
      <w:proofErr w:type="spellEnd"/>
      <w:r w:rsidRPr="00AB67EE">
        <w:rPr>
          <w:rFonts w:ascii="Verdana" w:hAnsi="Verdana" w:cs="Arial"/>
          <w:sz w:val="16"/>
          <w:szCs w:val="16"/>
          <w:lang w:val="en-US"/>
        </w:rPr>
        <w:t xml:space="preserve"> </w:t>
      </w:r>
      <w:proofErr w:type="spellStart"/>
      <w:r w:rsidRPr="00AB67EE">
        <w:rPr>
          <w:rFonts w:ascii="Verdana" w:hAnsi="Verdana" w:cs="Arial"/>
          <w:sz w:val="16"/>
          <w:szCs w:val="16"/>
          <w:lang w:val="en-US"/>
        </w:rPr>
        <w:t>approuvée</w:t>
      </w:r>
      <w:proofErr w:type="spellEnd"/>
      <w:r w:rsidRPr="00AB67EE">
        <w:rPr>
          <w:rFonts w:ascii="Verdana" w:hAnsi="Verdana" w:cs="Arial"/>
          <w:sz w:val="16"/>
          <w:szCs w:val="16"/>
          <w:lang w:val="en-US"/>
        </w:rPr>
        <w:t xml:space="preserve"> </w:t>
      </w:r>
      <w:proofErr w:type="spellStart"/>
      <w:r w:rsidRPr="00AB67EE">
        <w:rPr>
          <w:rFonts w:ascii="Verdana" w:hAnsi="Verdana" w:cs="Arial"/>
          <w:sz w:val="16"/>
          <w:szCs w:val="16"/>
          <w:lang w:val="en-US"/>
        </w:rPr>
        <w:t>dans</w:t>
      </w:r>
      <w:proofErr w:type="spellEnd"/>
      <w:r w:rsidRPr="00AB67EE">
        <w:rPr>
          <w:rFonts w:ascii="Verdana" w:hAnsi="Verdana" w:cs="Arial"/>
          <w:sz w:val="16"/>
          <w:szCs w:val="16"/>
          <w:lang w:val="en-US"/>
        </w:rPr>
        <w:t xml:space="preserve"> le cadre des MRP/DCP : </w:t>
      </w:r>
      <w:r w:rsidRPr="00AB67EE">
        <w:rPr>
          <w:rFonts w:ascii="Verdana" w:hAnsi="Verdana" w:cs="Arial"/>
          <w:sz w:val="16"/>
          <w:szCs w:val="16"/>
          <w:lang w:val="en-GB"/>
        </w:rPr>
        <w:t>«</w:t>
      </w:r>
      <w:r w:rsidRPr="00B7334D">
        <w:rPr>
          <w:rFonts w:ascii="Verdana" w:hAnsi="Verdana" w:cs="Arial"/>
          <w:sz w:val="16"/>
          <w:szCs w:val="16"/>
          <w:lang w:val="en-US"/>
        </w:rPr>
        <w:t xml:space="preserve"> </w:t>
      </w:r>
      <w:r w:rsidRPr="00AB67EE">
        <w:rPr>
          <w:rFonts w:ascii="Verdana" w:hAnsi="Verdana" w:cs="Arial"/>
          <w:sz w:val="16"/>
          <w:szCs w:val="16"/>
          <w:lang w:val="en-US"/>
        </w:rPr>
        <w:t>The recommended daily dose of paracetamol is 60 mg/kg/day which is divided into 4 or 6 administrations daily, i.e. 15 mg/kg every 6 hours or 10 mg/kg every 4 hours.</w:t>
      </w:r>
      <w:r w:rsidRPr="00AB67EE">
        <w:rPr>
          <w:rFonts w:ascii="Verdana" w:hAnsi="Verdana" w:cs="Arial"/>
          <w:sz w:val="16"/>
          <w:szCs w:val="16"/>
          <w:lang w:val="en-GB"/>
        </w:rPr>
        <w:t xml:space="preserve"> »</w:t>
      </w:r>
      <w:r w:rsidRPr="00AB67EE">
        <w:rPr>
          <w:rFonts w:ascii="Verdana" w:hAnsi="Verdana" w:cs="Arial"/>
          <w:sz w:val="16"/>
          <w:szCs w:val="16"/>
          <w:lang w:val="en-US"/>
        </w:rPr>
        <w:t xml:space="preserve"> </w:t>
      </w:r>
      <w:r w:rsidRPr="00AB67EE">
        <w:rPr>
          <w:rFonts w:ascii="Verdana" w:hAnsi="Verdana" w:cs="Arial"/>
          <w:sz w:val="16"/>
          <w:szCs w:val="16"/>
          <w:lang w:val="fr-BE"/>
        </w:rPr>
        <w:t>Une dose habituelle de « 10 mg/kg par prise, jusqu’à 6 fois par jour » est donc acceptable.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FEE"/>
    <w:multiLevelType w:val="hybridMultilevel"/>
    <w:tmpl w:val="93247658"/>
    <w:lvl w:ilvl="0" w:tplc="458A3EAA">
      <w:numFmt w:val="bullet"/>
      <w:lvlText w:val="-"/>
      <w:lvlJc w:val="left"/>
      <w:pPr>
        <w:ind w:left="360" w:hanging="360"/>
      </w:pPr>
      <w:rPr>
        <w:rFonts w:ascii="Verdana" w:eastAsia="Californian FB" w:hAnsi="Verdana" w:cs="Tahoma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277AD"/>
    <w:multiLevelType w:val="hybridMultilevel"/>
    <w:tmpl w:val="F24CD4EA"/>
    <w:lvl w:ilvl="0" w:tplc="BF4E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5E238F"/>
    <w:multiLevelType w:val="hybridMultilevel"/>
    <w:tmpl w:val="5E72BD5A"/>
    <w:lvl w:ilvl="0" w:tplc="B7BA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06FC"/>
    <w:multiLevelType w:val="hybridMultilevel"/>
    <w:tmpl w:val="61B24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887F81"/>
    <w:multiLevelType w:val="singleLevel"/>
    <w:tmpl w:val="05608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A05931"/>
    <w:multiLevelType w:val="multilevel"/>
    <w:tmpl w:val="85626B64"/>
    <w:lvl w:ilvl="0">
      <w:start w:val="1"/>
      <w:numFmt w:val="decimal"/>
      <w:pStyle w:val="Kop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Kop3"/>
      <w:lvlText w:val="%1.%2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Restart w:val="0"/>
      <w:isLgl/>
      <w:suff w:val="nothing"/>
      <w:lvlText w:val="%1.%2.%3.%4.%5.%6."/>
      <w:lvlJc w:val="left"/>
      <w:pPr>
        <w:ind w:left="2835" w:hanging="102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34F6AE3"/>
    <w:multiLevelType w:val="hybridMultilevel"/>
    <w:tmpl w:val="9A5C6C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E0B96"/>
    <w:multiLevelType w:val="hybridMultilevel"/>
    <w:tmpl w:val="E6FC07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96EEF"/>
    <w:multiLevelType w:val="hybridMultilevel"/>
    <w:tmpl w:val="6E6E0F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ED1200"/>
    <w:multiLevelType w:val="hybridMultilevel"/>
    <w:tmpl w:val="7AAEE7AC"/>
    <w:lvl w:ilvl="0" w:tplc="458A3E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91213"/>
    <w:multiLevelType w:val="hybridMultilevel"/>
    <w:tmpl w:val="4A6C9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71E6E"/>
    <w:multiLevelType w:val="hybridMultilevel"/>
    <w:tmpl w:val="1398F3D2"/>
    <w:lvl w:ilvl="0" w:tplc="458A3E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C21836"/>
    <w:multiLevelType w:val="hybridMultilevel"/>
    <w:tmpl w:val="58808846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24872"/>
    <w:multiLevelType w:val="hybridMultilevel"/>
    <w:tmpl w:val="24981D2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17C25"/>
    <w:multiLevelType w:val="hybridMultilevel"/>
    <w:tmpl w:val="B2C6ECD6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143A91"/>
    <w:multiLevelType w:val="hybridMultilevel"/>
    <w:tmpl w:val="2F262D3A"/>
    <w:lvl w:ilvl="0" w:tplc="458A3E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62B25"/>
    <w:multiLevelType w:val="hybridMultilevel"/>
    <w:tmpl w:val="E2A09F8E"/>
    <w:lvl w:ilvl="0" w:tplc="458A3E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803FED"/>
    <w:multiLevelType w:val="multilevel"/>
    <w:tmpl w:val="55BC97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2451A"/>
    <w:multiLevelType w:val="hybridMultilevel"/>
    <w:tmpl w:val="523AD0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D0389"/>
    <w:multiLevelType w:val="hybridMultilevel"/>
    <w:tmpl w:val="B61036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9D3AED"/>
    <w:multiLevelType w:val="hybridMultilevel"/>
    <w:tmpl w:val="8C08B3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236B"/>
    <w:multiLevelType w:val="singleLevel"/>
    <w:tmpl w:val="05608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FC7548"/>
    <w:multiLevelType w:val="hybridMultilevel"/>
    <w:tmpl w:val="235E0FF4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8F5469"/>
    <w:multiLevelType w:val="singleLevel"/>
    <w:tmpl w:val="24BA6B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8CC7767"/>
    <w:multiLevelType w:val="hybridMultilevel"/>
    <w:tmpl w:val="BCCC4FA0"/>
    <w:lvl w:ilvl="0" w:tplc="BBCAC93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A2C2A"/>
    <w:multiLevelType w:val="hybridMultilevel"/>
    <w:tmpl w:val="31F62932"/>
    <w:lvl w:ilvl="0" w:tplc="0FCAFE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671587"/>
    <w:multiLevelType w:val="hybridMultilevel"/>
    <w:tmpl w:val="02FE41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47190"/>
    <w:multiLevelType w:val="hybridMultilevel"/>
    <w:tmpl w:val="03DA1EC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87F47"/>
    <w:multiLevelType w:val="hybridMultilevel"/>
    <w:tmpl w:val="3DE624D4"/>
    <w:lvl w:ilvl="0" w:tplc="0FCAFE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6830B5"/>
    <w:multiLevelType w:val="hybridMultilevel"/>
    <w:tmpl w:val="8272EA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43EBF"/>
    <w:multiLevelType w:val="hybridMultilevel"/>
    <w:tmpl w:val="B53AE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C20CF"/>
    <w:multiLevelType w:val="hybridMultilevel"/>
    <w:tmpl w:val="C74C57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A8668A"/>
    <w:multiLevelType w:val="hybridMultilevel"/>
    <w:tmpl w:val="3CBA0DE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31597D"/>
    <w:multiLevelType w:val="hybridMultilevel"/>
    <w:tmpl w:val="B322C226"/>
    <w:lvl w:ilvl="0" w:tplc="458A3E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F7D19"/>
    <w:multiLevelType w:val="hybridMultilevel"/>
    <w:tmpl w:val="EE8282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983CFC"/>
    <w:multiLevelType w:val="hybridMultilevel"/>
    <w:tmpl w:val="7D08137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C92B8D"/>
    <w:multiLevelType w:val="hybridMultilevel"/>
    <w:tmpl w:val="14FC5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4A6554"/>
    <w:multiLevelType w:val="hybridMultilevel"/>
    <w:tmpl w:val="2E7CBA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5251B7"/>
    <w:multiLevelType w:val="hybridMultilevel"/>
    <w:tmpl w:val="77FC6E10"/>
    <w:lvl w:ilvl="0" w:tplc="56F8D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37"/>
  </w:num>
  <w:num w:numId="5">
    <w:abstractNumId w:val="7"/>
  </w:num>
  <w:num w:numId="6">
    <w:abstractNumId w:val="3"/>
  </w:num>
  <w:num w:numId="7">
    <w:abstractNumId w:val="1"/>
  </w:num>
  <w:num w:numId="8">
    <w:abstractNumId w:val="25"/>
  </w:num>
  <w:num w:numId="9">
    <w:abstractNumId w:val="24"/>
  </w:num>
  <w:num w:numId="10">
    <w:abstractNumId w:val="18"/>
  </w:num>
  <w:num w:numId="11">
    <w:abstractNumId w:val="38"/>
  </w:num>
  <w:num w:numId="12">
    <w:abstractNumId w:val="9"/>
  </w:num>
  <w:num w:numId="13">
    <w:abstractNumId w:val="28"/>
  </w:num>
  <w:num w:numId="14">
    <w:abstractNumId w:val="17"/>
  </w:num>
  <w:num w:numId="15">
    <w:abstractNumId w:val="11"/>
  </w:num>
  <w:num w:numId="16">
    <w:abstractNumId w:val="15"/>
  </w:num>
  <w:num w:numId="17">
    <w:abstractNumId w:val="16"/>
  </w:num>
  <w:num w:numId="18">
    <w:abstractNumId w:val="33"/>
  </w:num>
  <w:num w:numId="19">
    <w:abstractNumId w:val="8"/>
  </w:num>
  <w:num w:numId="20">
    <w:abstractNumId w:val="34"/>
  </w:num>
  <w:num w:numId="21">
    <w:abstractNumId w:val="12"/>
  </w:num>
  <w:num w:numId="22">
    <w:abstractNumId w:val="4"/>
  </w:num>
  <w:num w:numId="23">
    <w:abstractNumId w:val="21"/>
  </w:num>
  <w:num w:numId="24">
    <w:abstractNumId w:val="35"/>
  </w:num>
  <w:num w:numId="25">
    <w:abstractNumId w:val="10"/>
  </w:num>
  <w:num w:numId="26">
    <w:abstractNumId w:val="0"/>
  </w:num>
  <w:num w:numId="27">
    <w:abstractNumId w:val="31"/>
  </w:num>
  <w:num w:numId="28">
    <w:abstractNumId w:val="29"/>
  </w:num>
  <w:num w:numId="29">
    <w:abstractNumId w:val="26"/>
  </w:num>
  <w:num w:numId="30">
    <w:abstractNumId w:val="14"/>
  </w:num>
  <w:num w:numId="31">
    <w:abstractNumId w:val="2"/>
  </w:num>
  <w:num w:numId="32">
    <w:abstractNumId w:val="32"/>
  </w:num>
  <w:num w:numId="33">
    <w:abstractNumId w:val="20"/>
  </w:num>
  <w:num w:numId="34">
    <w:abstractNumId w:val="30"/>
  </w:num>
  <w:num w:numId="35">
    <w:abstractNumId w:val="13"/>
  </w:num>
  <w:num w:numId="36">
    <w:abstractNumId w:val="22"/>
  </w:num>
  <w:num w:numId="37">
    <w:abstractNumId w:val="27"/>
  </w:num>
  <w:num w:numId="38">
    <w:abstractNumId w:val="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Styles" w:val=" 265   no"/>
  </w:docVars>
  <w:rsids>
    <w:rsidRoot w:val="008A2108"/>
    <w:rsid w:val="0000003C"/>
    <w:rsid w:val="0000390D"/>
    <w:rsid w:val="000105E9"/>
    <w:rsid w:val="00010F0A"/>
    <w:rsid w:val="00012F92"/>
    <w:rsid w:val="00017C35"/>
    <w:rsid w:val="000243E4"/>
    <w:rsid w:val="000253B2"/>
    <w:rsid w:val="00036840"/>
    <w:rsid w:val="000443B0"/>
    <w:rsid w:val="00046F1A"/>
    <w:rsid w:val="00050ED1"/>
    <w:rsid w:val="000522C1"/>
    <w:rsid w:val="000549AA"/>
    <w:rsid w:val="0006115D"/>
    <w:rsid w:val="0006169D"/>
    <w:rsid w:val="0006373D"/>
    <w:rsid w:val="00064130"/>
    <w:rsid w:val="00066590"/>
    <w:rsid w:val="0007234D"/>
    <w:rsid w:val="00073CBB"/>
    <w:rsid w:val="00074CEF"/>
    <w:rsid w:val="00076D24"/>
    <w:rsid w:val="0008164C"/>
    <w:rsid w:val="00081710"/>
    <w:rsid w:val="00081FDF"/>
    <w:rsid w:val="00082CEE"/>
    <w:rsid w:val="0008509D"/>
    <w:rsid w:val="00085D40"/>
    <w:rsid w:val="0009258B"/>
    <w:rsid w:val="00092FCE"/>
    <w:rsid w:val="00096B6D"/>
    <w:rsid w:val="00096E7D"/>
    <w:rsid w:val="000A0042"/>
    <w:rsid w:val="000A0DAB"/>
    <w:rsid w:val="000A1F92"/>
    <w:rsid w:val="000A5A3D"/>
    <w:rsid w:val="000A6FE9"/>
    <w:rsid w:val="000A7726"/>
    <w:rsid w:val="000B1BF0"/>
    <w:rsid w:val="000B236C"/>
    <w:rsid w:val="000B27CC"/>
    <w:rsid w:val="000B29D2"/>
    <w:rsid w:val="000B7E31"/>
    <w:rsid w:val="000C3886"/>
    <w:rsid w:val="000C51CC"/>
    <w:rsid w:val="000C6AEB"/>
    <w:rsid w:val="000C762E"/>
    <w:rsid w:val="000D0196"/>
    <w:rsid w:val="000D1EC3"/>
    <w:rsid w:val="000D4C29"/>
    <w:rsid w:val="000E7138"/>
    <w:rsid w:val="000F52F7"/>
    <w:rsid w:val="000F542C"/>
    <w:rsid w:val="000F5B6F"/>
    <w:rsid w:val="000F60B2"/>
    <w:rsid w:val="000F73AB"/>
    <w:rsid w:val="000F7560"/>
    <w:rsid w:val="000F7806"/>
    <w:rsid w:val="00100DA0"/>
    <w:rsid w:val="001106A8"/>
    <w:rsid w:val="001129E0"/>
    <w:rsid w:val="001142FE"/>
    <w:rsid w:val="00114725"/>
    <w:rsid w:val="00114E3C"/>
    <w:rsid w:val="00114EC4"/>
    <w:rsid w:val="00121D98"/>
    <w:rsid w:val="00121E3D"/>
    <w:rsid w:val="00121FB7"/>
    <w:rsid w:val="00127436"/>
    <w:rsid w:val="0013587E"/>
    <w:rsid w:val="00143E0C"/>
    <w:rsid w:val="00147423"/>
    <w:rsid w:val="00150325"/>
    <w:rsid w:val="001528E3"/>
    <w:rsid w:val="00156AF6"/>
    <w:rsid w:val="00156CB8"/>
    <w:rsid w:val="00160F68"/>
    <w:rsid w:val="00163EE2"/>
    <w:rsid w:val="0016489E"/>
    <w:rsid w:val="00170DF5"/>
    <w:rsid w:val="00174A2F"/>
    <w:rsid w:val="001801B6"/>
    <w:rsid w:val="0018590C"/>
    <w:rsid w:val="00186D63"/>
    <w:rsid w:val="00187C02"/>
    <w:rsid w:val="00191D41"/>
    <w:rsid w:val="0019228D"/>
    <w:rsid w:val="001962C4"/>
    <w:rsid w:val="0019746E"/>
    <w:rsid w:val="00197950"/>
    <w:rsid w:val="001A4249"/>
    <w:rsid w:val="001A5F05"/>
    <w:rsid w:val="001B0545"/>
    <w:rsid w:val="001B25EB"/>
    <w:rsid w:val="001B5EAF"/>
    <w:rsid w:val="001C344C"/>
    <w:rsid w:val="001C3B44"/>
    <w:rsid w:val="001C4096"/>
    <w:rsid w:val="001C7F3D"/>
    <w:rsid w:val="001D3421"/>
    <w:rsid w:val="001D5666"/>
    <w:rsid w:val="001D5D40"/>
    <w:rsid w:val="001D5FCE"/>
    <w:rsid w:val="001E3F14"/>
    <w:rsid w:val="001E5223"/>
    <w:rsid w:val="001E6ECB"/>
    <w:rsid w:val="001F5A56"/>
    <w:rsid w:val="001F68D1"/>
    <w:rsid w:val="00202506"/>
    <w:rsid w:val="002038C0"/>
    <w:rsid w:val="0020506F"/>
    <w:rsid w:val="0020717E"/>
    <w:rsid w:val="00212444"/>
    <w:rsid w:val="00213F89"/>
    <w:rsid w:val="00214A5F"/>
    <w:rsid w:val="0021687E"/>
    <w:rsid w:val="00220F0C"/>
    <w:rsid w:val="002228CF"/>
    <w:rsid w:val="00222B2F"/>
    <w:rsid w:val="002265CF"/>
    <w:rsid w:val="00226FD4"/>
    <w:rsid w:val="00227F22"/>
    <w:rsid w:val="00231084"/>
    <w:rsid w:val="00232EB5"/>
    <w:rsid w:val="00233A74"/>
    <w:rsid w:val="00235737"/>
    <w:rsid w:val="00235ADB"/>
    <w:rsid w:val="00235EC9"/>
    <w:rsid w:val="00235FCE"/>
    <w:rsid w:val="002378A4"/>
    <w:rsid w:val="002378E7"/>
    <w:rsid w:val="002401D7"/>
    <w:rsid w:val="00245477"/>
    <w:rsid w:val="002469F5"/>
    <w:rsid w:val="00254DB5"/>
    <w:rsid w:val="0026103E"/>
    <w:rsid w:val="00261F71"/>
    <w:rsid w:val="00264679"/>
    <w:rsid w:val="00264EBB"/>
    <w:rsid w:val="00265C48"/>
    <w:rsid w:val="00266DA5"/>
    <w:rsid w:val="00267243"/>
    <w:rsid w:val="00270414"/>
    <w:rsid w:val="0027598D"/>
    <w:rsid w:val="00276FAB"/>
    <w:rsid w:val="00280612"/>
    <w:rsid w:val="002819E5"/>
    <w:rsid w:val="002825F3"/>
    <w:rsid w:val="002851E2"/>
    <w:rsid w:val="00290751"/>
    <w:rsid w:val="00292D66"/>
    <w:rsid w:val="002933FF"/>
    <w:rsid w:val="0029583D"/>
    <w:rsid w:val="002A0DA7"/>
    <w:rsid w:val="002A2911"/>
    <w:rsid w:val="002B18E0"/>
    <w:rsid w:val="002B3CE3"/>
    <w:rsid w:val="002B522B"/>
    <w:rsid w:val="002B6446"/>
    <w:rsid w:val="002C1DA7"/>
    <w:rsid w:val="002C3A1B"/>
    <w:rsid w:val="002C3B2D"/>
    <w:rsid w:val="002C4516"/>
    <w:rsid w:val="002C6C2C"/>
    <w:rsid w:val="002D196A"/>
    <w:rsid w:val="002D5808"/>
    <w:rsid w:val="002E0A3F"/>
    <w:rsid w:val="002E1739"/>
    <w:rsid w:val="002E57D9"/>
    <w:rsid w:val="002E6E38"/>
    <w:rsid w:val="002E7A51"/>
    <w:rsid w:val="002F0810"/>
    <w:rsid w:val="002F329F"/>
    <w:rsid w:val="002F4446"/>
    <w:rsid w:val="00306F85"/>
    <w:rsid w:val="00310811"/>
    <w:rsid w:val="003127F9"/>
    <w:rsid w:val="00314DD4"/>
    <w:rsid w:val="003152C8"/>
    <w:rsid w:val="003154D5"/>
    <w:rsid w:val="00315C57"/>
    <w:rsid w:val="0032402C"/>
    <w:rsid w:val="00325929"/>
    <w:rsid w:val="00326F6C"/>
    <w:rsid w:val="00330166"/>
    <w:rsid w:val="00340339"/>
    <w:rsid w:val="00343D09"/>
    <w:rsid w:val="00344DC7"/>
    <w:rsid w:val="00345CC7"/>
    <w:rsid w:val="00346DD3"/>
    <w:rsid w:val="003500C0"/>
    <w:rsid w:val="00350618"/>
    <w:rsid w:val="00353487"/>
    <w:rsid w:val="003575CC"/>
    <w:rsid w:val="003579FA"/>
    <w:rsid w:val="00362D47"/>
    <w:rsid w:val="00362DB8"/>
    <w:rsid w:val="00363096"/>
    <w:rsid w:val="00364A38"/>
    <w:rsid w:val="00364B17"/>
    <w:rsid w:val="003664F2"/>
    <w:rsid w:val="00373A96"/>
    <w:rsid w:val="00374983"/>
    <w:rsid w:val="00377AB6"/>
    <w:rsid w:val="003817B5"/>
    <w:rsid w:val="00381A7E"/>
    <w:rsid w:val="00383974"/>
    <w:rsid w:val="003841F8"/>
    <w:rsid w:val="00384248"/>
    <w:rsid w:val="00385DDE"/>
    <w:rsid w:val="00390E3A"/>
    <w:rsid w:val="00391A2E"/>
    <w:rsid w:val="00391DAA"/>
    <w:rsid w:val="00395181"/>
    <w:rsid w:val="00395D70"/>
    <w:rsid w:val="0039641F"/>
    <w:rsid w:val="00396AC7"/>
    <w:rsid w:val="003A2E03"/>
    <w:rsid w:val="003A5D6B"/>
    <w:rsid w:val="003B0394"/>
    <w:rsid w:val="003B07DC"/>
    <w:rsid w:val="003B57EC"/>
    <w:rsid w:val="003C036B"/>
    <w:rsid w:val="003C175B"/>
    <w:rsid w:val="003C25E2"/>
    <w:rsid w:val="003D0628"/>
    <w:rsid w:val="003D062D"/>
    <w:rsid w:val="003E01DA"/>
    <w:rsid w:val="003E4571"/>
    <w:rsid w:val="003F01A3"/>
    <w:rsid w:val="003F0D98"/>
    <w:rsid w:val="003F104E"/>
    <w:rsid w:val="003F2028"/>
    <w:rsid w:val="003F3C82"/>
    <w:rsid w:val="003F492B"/>
    <w:rsid w:val="003F6000"/>
    <w:rsid w:val="00400A30"/>
    <w:rsid w:val="004033A0"/>
    <w:rsid w:val="00403565"/>
    <w:rsid w:val="004045B2"/>
    <w:rsid w:val="004059F1"/>
    <w:rsid w:val="00407718"/>
    <w:rsid w:val="00411D96"/>
    <w:rsid w:val="00413374"/>
    <w:rsid w:val="00415398"/>
    <w:rsid w:val="004160F5"/>
    <w:rsid w:val="004171E2"/>
    <w:rsid w:val="00417DA9"/>
    <w:rsid w:val="00422712"/>
    <w:rsid w:val="00423256"/>
    <w:rsid w:val="00425598"/>
    <w:rsid w:val="00426F9A"/>
    <w:rsid w:val="00433A63"/>
    <w:rsid w:val="00435648"/>
    <w:rsid w:val="00437BAF"/>
    <w:rsid w:val="00440390"/>
    <w:rsid w:val="004513AA"/>
    <w:rsid w:val="00451D35"/>
    <w:rsid w:val="004555AF"/>
    <w:rsid w:val="00457D44"/>
    <w:rsid w:val="0046064B"/>
    <w:rsid w:val="004609B2"/>
    <w:rsid w:val="0046118E"/>
    <w:rsid w:val="004615DD"/>
    <w:rsid w:val="00462B28"/>
    <w:rsid w:val="00462C2B"/>
    <w:rsid w:val="004771BF"/>
    <w:rsid w:val="004776DD"/>
    <w:rsid w:val="00477C91"/>
    <w:rsid w:val="004810BD"/>
    <w:rsid w:val="00492D33"/>
    <w:rsid w:val="00494919"/>
    <w:rsid w:val="004954F3"/>
    <w:rsid w:val="004962A0"/>
    <w:rsid w:val="0049783C"/>
    <w:rsid w:val="004A53C2"/>
    <w:rsid w:val="004B260A"/>
    <w:rsid w:val="004B3B4A"/>
    <w:rsid w:val="004B68BA"/>
    <w:rsid w:val="004B6B6B"/>
    <w:rsid w:val="004C1403"/>
    <w:rsid w:val="004C2DEF"/>
    <w:rsid w:val="004C4024"/>
    <w:rsid w:val="004C4598"/>
    <w:rsid w:val="004D77D9"/>
    <w:rsid w:val="004E2D4A"/>
    <w:rsid w:val="004E40F2"/>
    <w:rsid w:val="004E42D9"/>
    <w:rsid w:val="004E5343"/>
    <w:rsid w:val="004E5C84"/>
    <w:rsid w:val="004E6666"/>
    <w:rsid w:val="004E711A"/>
    <w:rsid w:val="004E77F7"/>
    <w:rsid w:val="004F647B"/>
    <w:rsid w:val="004F67C0"/>
    <w:rsid w:val="005037F8"/>
    <w:rsid w:val="00507F4C"/>
    <w:rsid w:val="005109CC"/>
    <w:rsid w:val="00510EA1"/>
    <w:rsid w:val="00512551"/>
    <w:rsid w:val="005129D0"/>
    <w:rsid w:val="00523139"/>
    <w:rsid w:val="0052641D"/>
    <w:rsid w:val="00530C29"/>
    <w:rsid w:val="00531296"/>
    <w:rsid w:val="0053307D"/>
    <w:rsid w:val="00536F0B"/>
    <w:rsid w:val="005379BC"/>
    <w:rsid w:val="00540A73"/>
    <w:rsid w:val="00542266"/>
    <w:rsid w:val="0054369D"/>
    <w:rsid w:val="00543925"/>
    <w:rsid w:val="00546EA4"/>
    <w:rsid w:val="0054745C"/>
    <w:rsid w:val="0055010E"/>
    <w:rsid w:val="005501BD"/>
    <w:rsid w:val="0055032E"/>
    <w:rsid w:val="00552945"/>
    <w:rsid w:val="0055637D"/>
    <w:rsid w:val="00557E27"/>
    <w:rsid w:val="0056366C"/>
    <w:rsid w:val="00563C6F"/>
    <w:rsid w:val="0056433E"/>
    <w:rsid w:val="00565306"/>
    <w:rsid w:val="0056644D"/>
    <w:rsid w:val="00573BD4"/>
    <w:rsid w:val="0058615F"/>
    <w:rsid w:val="00587F7E"/>
    <w:rsid w:val="00591423"/>
    <w:rsid w:val="00592426"/>
    <w:rsid w:val="005925F5"/>
    <w:rsid w:val="005929DA"/>
    <w:rsid w:val="005970C5"/>
    <w:rsid w:val="0059724D"/>
    <w:rsid w:val="005A0193"/>
    <w:rsid w:val="005A414A"/>
    <w:rsid w:val="005B079D"/>
    <w:rsid w:val="005B6823"/>
    <w:rsid w:val="005C1273"/>
    <w:rsid w:val="005C7130"/>
    <w:rsid w:val="005D2BD9"/>
    <w:rsid w:val="005D31B1"/>
    <w:rsid w:val="005D3CF7"/>
    <w:rsid w:val="005D43FB"/>
    <w:rsid w:val="005D62B2"/>
    <w:rsid w:val="005D6C08"/>
    <w:rsid w:val="005E5457"/>
    <w:rsid w:val="005E73D7"/>
    <w:rsid w:val="005F7755"/>
    <w:rsid w:val="006004A0"/>
    <w:rsid w:val="00604144"/>
    <w:rsid w:val="00604B92"/>
    <w:rsid w:val="00607F19"/>
    <w:rsid w:val="00614D02"/>
    <w:rsid w:val="00621424"/>
    <w:rsid w:val="00622A0F"/>
    <w:rsid w:val="00622FAE"/>
    <w:rsid w:val="00623463"/>
    <w:rsid w:val="00630486"/>
    <w:rsid w:val="006317C3"/>
    <w:rsid w:val="006338B2"/>
    <w:rsid w:val="00633B7F"/>
    <w:rsid w:val="00637977"/>
    <w:rsid w:val="00643EAE"/>
    <w:rsid w:val="00647CBE"/>
    <w:rsid w:val="00650A33"/>
    <w:rsid w:val="00652475"/>
    <w:rsid w:val="00653EAC"/>
    <w:rsid w:val="0065614B"/>
    <w:rsid w:val="00656F56"/>
    <w:rsid w:val="00657970"/>
    <w:rsid w:val="00657E2F"/>
    <w:rsid w:val="00661F17"/>
    <w:rsid w:val="0066444E"/>
    <w:rsid w:val="00666FE4"/>
    <w:rsid w:val="00667354"/>
    <w:rsid w:val="0066768D"/>
    <w:rsid w:val="00670434"/>
    <w:rsid w:val="00673606"/>
    <w:rsid w:val="0067540B"/>
    <w:rsid w:val="006761AD"/>
    <w:rsid w:val="006773FA"/>
    <w:rsid w:val="006807C1"/>
    <w:rsid w:val="006825E7"/>
    <w:rsid w:val="006835C3"/>
    <w:rsid w:val="00684392"/>
    <w:rsid w:val="006857FB"/>
    <w:rsid w:val="006903FC"/>
    <w:rsid w:val="0069406B"/>
    <w:rsid w:val="006947BE"/>
    <w:rsid w:val="00695B9C"/>
    <w:rsid w:val="00696A30"/>
    <w:rsid w:val="00696B85"/>
    <w:rsid w:val="006A35EE"/>
    <w:rsid w:val="006A4BAE"/>
    <w:rsid w:val="006A5D83"/>
    <w:rsid w:val="006B315A"/>
    <w:rsid w:val="006B50FC"/>
    <w:rsid w:val="006B5255"/>
    <w:rsid w:val="006B56EA"/>
    <w:rsid w:val="006B6791"/>
    <w:rsid w:val="006C02A9"/>
    <w:rsid w:val="006C1F79"/>
    <w:rsid w:val="006C3E55"/>
    <w:rsid w:val="006C4E8F"/>
    <w:rsid w:val="006D4700"/>
    <w:rsid w:val="006D49E8"/>
    <w:rsid w:val="006E0D9F"/>
    <w:rsid w:val="006E258A"/>
    <w:rsid w:val="006F1254"/>
    <w:rsid w:val="006F1695"/>
    <w:rsid w:val="006F263E"/>
    <w:rsid w:val="006F3EC5"/>
    <w:rsid w:val="006F45E5"/>
    <w:rsid w:val="00700742"/>
    <w:rsid w:val="007031D5"/>
    <w:rsid w:val="00703912"/>
    <w:rsid w:val="007046D4"/>
    <w:rsid w:val="00712B07"/>
    <w:rsid w:val="00715CA8"/>
    <w:rsid w:val="00717592"/>
    <w:rsid w:val="007243F0"/>
    <w:rsid w:val="00731141"/>
    <w:rsid w:val="00740454"/>
    <w:rsid w:val="00740EC8"/>
    <w:rsid w:val="007456B4"/>
    <w:rsid w:val="00745F73"/>
    <w:rsid w:val="00752859"/>
    <w:rsid w:val="007537D3"/>
    <w:rsid w:val="00760DC6"/>
    <w:rsid w:val="00761352"/>
    <w:rsid w:val="007626E4"/>
    <w:rsid w:val="007643AC"/>
    <w:rsid w:val="007668A5"/>
    <w:rsid w:val="00781A36"/>
    <w:rsid w:val="00782F26"/>
    <w:rsid w:val="007869E7"/>
    <w:rsid w:val="0079327E"/>
    <w:rsid w:val="007972DF"/>
    <w:rsid w:val="007A3D59"/>
    <w:rsid w:val="007A7FE6"/>
    <w:rsid w:val="007B0CC3"/>
    <w:rsid w:val="007B4F34"/>
    <w:rsid w:val="007B6F71"/>
    <w:rsid w:val="007C4431"/>
    <w:rsid w:val="007C495B"/>
    <w:rsid w:val="007C56EF"/>
    <w:rsid w:val="007D0686"/>
    <w:rsid w:val="007D1437"/>
    <w:rsid w:val="007D3792"/>
    <w:rsid w:val="007E0EED"/>
    <w:rsid w:val="007E60D1"/>
    <w:rsid w:val="007E71C3"/>
    <w:rsid w:val="007E760D"/>
    <w:rsid w:val="007E7E6F"/>
    <w:rsid w:val="007F32CE"/>
    <w:rsid w:val="007F6154"/>
    <w:rsid w:val="007F61D6"/>
    <w:rsid w:val="007F6972"/>
    <w:rsid w:val="007F6A9C"/>
    <w:rsid w:val="008014D8"/>
    <w:rsid w:val="00802057"/>
    <w:rsid w:val="0080224F"/>
    <w:rsid w:val="00802883"/>
    <w:rsid w:val="00802B15"/>
    <w:rsid w:val="0080580E"/>
    <w:rsid w:val="00807E3E"/>
    <w:rsid w:val="00810CD4"/>
    <w:rsid w:val="00817D97"/>
    <w:rsid w:val="00820826"/>
    <w:rsid w:val="0082198F"/>
    <w:rsid w:val="00821FD5"/>
    <w:rsid w:val="00824319"/>
    <w:rsid w:val="008267FE"/>
    <w:rsid w:val="00827F02"/>
    <w:rsid w:val="00830DFC"/>
    <w:rsid w:val="0083174E"/>
    <w:rsid w:val="008327C4"/>
    <w:rsid w:val="008335D5"/>
    <w:rsid w:val="0083493B"/>
    <w:rsid w:val="00835FDC"/>
    <w:rsid w:val="008405FE"/>
    <w:rsid w:val="0084075A"/>
    <w:rsid w:val="00840E5A"/>
    <w:rsid w:val="00842204"/>
    <w:rsid w:val="0084307F"/>
    <w:rsid w:val="00844373"/>
    <w:rsid w:val="00846572"/>
    <w:rsid w:val="00850A19"/>
    <w:rsid w:val="008511AA"/>
    <w:rsid w:val="008551D9"/>
    <w:rsid w:val="00855552"/>
    <w:rsid w:val="00856A8E"/>
    <w:rsid w:val="00866503"/>
    <w:rsid w:val="00867F8A"/>
    <w:rsid w:val="008729B2"/>
    <w:rsid w:val="00873FB1"/>
    <w:rsid w:val="0087449F"/>
    <w:rsid w:val="008768CE"/>
    <w:rsid w:val="00876D9C"/>
    <w:rsid w:val="008811E7"/>
    <w:rsid w:val="00891BC0"/>
    <w:rsid w:val="00895144"/>
    <w:rsid w:val="008A0456"/>
    <w:rsid w:val="008A2108"/>
    <w:rsid w:val="008A2D7F"/>
    <w:rsid w:val="008A598D"/>
    <w:rsid w:val="008A74A4"/>
    <w:rsid w:val="008B1F9D"/>
    <w:rsid w:val="008B3E20"/>
    <w:rsid w:val="008B67DB"/>
    <w:rsid w:val="008B6897"/>
    <w:rsid w:val="008C26FC"/>
    <w:rsid w:val="008C2EFE"/>
    <w:rsid w:val="008C341A"/>
    <w:rsid w:val="008C37F8"/>
    <w:rsid w:val="008C3F15"/>
    <w:rsid w:val="008C7774"/>
    <w:rsid w:val="008D1138"/>
    <w:rsid w:val="008D1BDF"/>
    <w:rsid w:val="008D2ABE"/>
    <w:rsid w:val="008D32AA"/>
    <w:rsid w:val="008E0F70"/>
    <w:rsid w:val="008E1AC0"/>
    <w:rsid w:val="008E2742"/>
    <w:rsid w:val="008E2A36"/>
    <w:rsid w:val="008E4403"/>
    <w:rsid w:val="008E4C89"/>
    <w:rsid w:val="008E5C30"/>
    <w:rsid w:val="008F11B5"/>
    <w:rsid w:val="008F3126"/>
    <w:rsid w:val="008F3DEF"/>
    <w:rsid w:val="008F50D3"/>
    <w:rsid w:val="0090249B"/>
    <w:rsid w:val="00904E73"/>
    <w:rsid w:val="00905212"/>
    <w:rsid w:val="009069FB"/>
    <w:rsid w:val="00911407"/>
    <w:rsid w:val="009124FB"/>
    <w:rsid w:val="00912956"/>
    <w:rsid w:val="009148B9"/>
    <w:rsid w:val="00916FAE"/>
    <w:rsid w:val="00921499"/>
    <w:rsid w:val="00923214"/>
    <w:rsid w:val="009247FC"/>
    <w:rsid w:val="00925F53"/>
    <w:rsid w:val="00927933"/>
    <w:rsid w:val="0092796D"/>
    <w:rsid w:val="00932732"/>
    <w:rsid w:val="0093638E"/>
    <w:rsid w:val="009416A6"/>
    <w:rsid w:val="009416C0"/>
    <w:rsid w:val="00944147"/>
    <w:rsid w:val="00946CFF"/>
    <w:rsid w:val="0095011D"/>
    <w:rsid w:val="0095150D"/>
    <w:rsid w:val="00953CF2"/>
    <w:rsid w:val="00955DAD"/>
    <w:rsid w:val="009608DF"/>
    <w:rsid w:val="00962A20"/>
    <w:rsid w:val="0096703E"/>
    <w:rsid w:val="00971D9A"/>
    <w:rsid w:val="0097541E"/>
    <w:rsid w:val="00981936"/>
    <w:rsid w:val="00983EFA"/>
    <w:rsid w:val="00984965"/>
    <w:rsid w:val="00986839"/>
    <w:rsid w:val="00986C46"/>
    <w:rsid w:val="009870A2"/>
    <w:rsid w:val="0098765B"/>
    <w:rsid w:val="00990487"/>
    <w:rsid w:val="0099477D"/>
    <w:rsid w:val="00995381"/>
    <w:rsid w:val="0099611E"/>
    <w:rsid w:val="009970A0"/>
    <w:rsid w:val="009976AC"/>
    <w:rsid w:val="009A39D8"/>
    <w:rsid w:val="009A6CD6"/>
    <w:rsid w:val="009B225C"/>
    <w:rsid w:val="009B6CC5"/>
    <w:rsid w:val="009C242E"/>
    <w:rsid w:val="009D22BF"/>
    <w:rsid w:val="009D2953"/>
    <w:rsid w:val="009D3D1F"/>
    <w:rsid w:val="009D5A90"/>
    <w:rsid w:val="009D7117"/>
    <w:rsid w:val="009E5B3C"/>
    <w:rsid w:val="009E7E33"/>
    <w:rsid w:val="009F39E6"/>
    <w:rsid w:val="009F4A95"/>
    <w:rsid w:val="00A02C9A"/>
    <w:rsid w:val="00A035B4"/>
    <w:rsid w:val="00A05722"/>
    <w:rsid w:val="00A05907"/>
    <w:rsid w:val="00A103F3"/>
    <w:rsid w:val="00A12370"/>
    <w:rsid w:val="00A14044"/>
    <w:rsid w:val="00A23A5B"/>
    <w:rsid w:val="00A23DEC"/>
    <w:rsid w:val="00A26193"/>
    <w:rsid w:val="00A2727D"/>
    <w:rsid w:val="00A27496"/>
    <w:rsid w:val="00A327E7"/>
    <w:rsid w:val="00A3326C"/>
    <w:rsid w:val="00A34638"/>
    <w:rsid w:val="00A36CAC"/>
    <w:rsid w:val="00A37AAE"/>
    <w:rsid w:val="00A413AA"/>
    <w:rsid w:val="00A42215"/>
    <w:rsid w:val="00A43876"/>
    <w:rsid w:val="00A4445E"/>
    <w:rsid w:val="00A51045"/>
    <w:rsid w:val="00A53355"/>
    <w:rsid w:val="00A540FF"/>
    <w:rsid w:val="00A55225"/>
    <w:rsid w:val="00A6052B"/>
    <w:rsid w:val="00A61AE5"/>
    <w:rsid w:val="00A65B05"/>
    <w:rsid w:val="00A67FCB"/>
    <w:rsid w:val="00A70342"/>
    <w:rsid w:val="00A731A8"/>
    <w:rsid w:val="00A801CC"/>
    <w:rsid w:val="00A83601"/>
    <w:rsid w:val="00A8557A"/>
    <w:rsid w:val="00A90668"/>
    <w:rsid w:val="00A913B5"/>
    <w:rsid w:val="00A91539"/>
    <w:rsid w:val="00A91D0D"/>
    <w:rsid w:val="00A94E5B"/>
    <w:rsid w:val="00A955D2"/>
    <w:rsid w:val="00A9560C"/>
    <w:rsid w:val="00A96F59"/>
    <w:rsid w:val="00A97FFC"/>
    <w:rsid w:val="00AA2421"/>
    <w:rsid w:val="00AB0ECE"/>
    <w:rsid w:val="00AB67EE"/>
    <w:rsid w:val="00AC515B"/>
    <w:rsid w:val="00AC53FD"/>
    <w:rsid w:val="00AC5A63"/>
    <w:rsid w:val="00AD178B"/>
    <w:rsid w:val="00AD3CB8"/>
    <w:rsid w:val="00AD3E29"/>
    <w:rsid w:val="00AD45F3"/>
    <w:rsid w:val="00AD4CE8"/>
    <w:rsid w:val="00AD59E2"/>
    <w:rsid w:val="00AD5ADA"/>
    <w:rsid w:val="00AE0253"/>
    <w:rsid w:val="00AE536E"/>
    <w:rsid w:val="00AE78A6"/>
    <w:rsid w:val="00AF246D"/>
    <w:rsid w:val="00AF378E"/>
    <w:rsid w:val="00AF4934"/>
    <w:rsid w:val="00B0384D"/>
    <w:rsid w:val="00B04D27"/>
    <w:rsid w:val="00B06E37"/>
    <w:rsid w:val="00B171A3"/>
    <w:rsid w:val="00B23BDE"/>
    <w:rsid w:val="00B300F5"/>
    <w:rsid w:val="00B351A4"/>
    <w:rsid w:val="00B37557"/>
    <w:rsid w:val="00B37E91"/>
    <w:rsid w:val="00B4038A"/>
    <w:rsid w:val="00B42A16"/>
    <w:rsid w:val="00B443E2"/>
    <w:rsid w:val="00B443F5"/>
    <w:rsid w:val="00B45044"/>
    <w:rsid w:val="00B468A3"/>
    <w:rsid w:val="00B50786"/>
    <w:rsid w:val="00B53B52"/>
    <w:rsid w:val="00B55C41"/>
    <w:rsid w:val="00B56BBB"/>
    <w:rsid w:val="00B61407"/>
    <w:rsid w:val="00B63E69"/>
    <w:rsid w:val="00B64BEA"/>
    <w:rsid w:val="00B67B27"/>
    <w:rsid w:val="00B726BF"/>
    <w:rsid w:val="00B7334D"/>
    <w:rsid w:val="00B81643"/>
    <w:rsid w:val="00B85548"/>
    <w:rsid w:val="00B874D0"/>
    <w:rsid w:val="00B87560"/>
    <w:rsid w:val="00B90BEE"/>
    <w:rsid w:val="00B93959"/>
    <w:rsid w:val="00B9706E"/>
    <w:rsid w:val="00BA091B"/>
    <w:rsid w:val="00BA23A2"/>
    <w:rsid w:val="00BA6E45"/>
    <w:rsid w:val="00BB3FBA"/>
    <w:rsid w:val="00BB6435"/>
    <w:rsid w:val="00BC0D84"/>
    <w:rsid w:val="00BC2D4F"/>
    <w:rsid w:val="00BC5979"/>
    <w:rsid w:val="00BD02A0"/>
    <w:rsid w:val="00BD09CE"/>
    <w:rsid w:val="00BE07A2"/>
    <w:rsid w:val="00BE2B7C"/>
    <w:rsid w:val="00BE342B"/>
    <w:rsid w:val="00BE7E66"/>
    <w:rsid w:val="00BF0F91"/>
    <w:rsid w:val="00BF7E6D"/>
    <w:rsid w:val="00C02BD2"/>
    <w:rsid w:val="00C04801"/>
    <w:rsid w:val="00C04E23"/>
    <w:rsid w:val="00C060EF"/>
    <w:rsid w:val="00C110D1"/>
    <w:rsid w:val="00C14824"/>
    <w:rsid w:val="00C1538F"/>
    <w:rsid w:val="00C23301"/>
    <w:rsid w:val="00C23CB4"/>
    <w:rsid w:val="00C2431F"/>
    <w:rsid w:val="00C33F15"/>
    <w:rsid w:val="00C415ED"/>
    <w:rsid w:val="00C430E2"/>
    <w:rsid w:val="00C44A4E"/>
    <w:rsid w:val="00C47189"/>
    <w:rsid w:val="00C47493"/>
    <w:rsid w:val="00C47F1F"/>
    <w:rsid w:val="00C50515"/>
    <w:rsid w:val="00C50784"/>
    <w:rsid w:val="00C507F2"/>
    <w:rsid w:val="00C50A13"/>
    <w:rsid w:val="00C5215A"/>
    <w:rsid w:val="00C52A1B"/>
    <w:rsid w:val="00C53016"/>
    <w:rsid w:val="00C55AD6"/>
    <w:rsid w:val="00C618D8"/>
    <w:rsid w:val="00C65231"/>
    <w:rsid w:val="00C656CB"/>
    <w:rsid w:val="00C67374"/>
    <w:rsid w:val="00C7103F"/>
    <w:rsid w:val="00C715DD"/>
    <w:rsid w:val="00C71CBE"/>
    <w:rsid w:val="00C723F7"/>
    <w:rsid w:val="00C72C4F"/>
    <w:rsid w:val="00C72CD0"/>
    <w:rsid w:val="00C83614"/>
    <w:rsid w:val="00C93E65"/>
    <w:rsid w:val="00C975CA"/>
    <w:rsid w:val="00CA1438"/>
    <w:rsid w:val="00CA1B4F"/>
    <w:rsid w:val="00CB2B74"/>
    <w:rsid w:val="00CB3F7F"/>
    <w:rsid w:val="00CB4E86"/>
    <w:rsid w:val="00CB5D6E"/>
    <w:rsid w:val="00CB7284"/>
    <w:rsid w:val="00CB7DB5"/>
    <w:rsid w:val="00CC5715"/>
    <w:rsid w:val="00CC59C1"/>
    <w:rsid w:val="00CC5FDC"/>
    <w:rsid w:val="00CC73F2"/>
    <w:rsid w:val="00CD3797"/>
    <w:rsid w:val="00CD6630"/>
    <w:rsid w:val="00CE55EE"/>
    <w:rsid w:val="00CF05CC"/>
    <w:rsid w:val="00CF26B9"/>
    <w:rsid w:val="00CF44D5"/>
    <w:rsid w:val="00D1056C"/>
    <w:rsid w:val="00D13EDA"/>
    <w:rsid w:val="00D1533B"/>
    <w:rsid w:val="00D16DF3"/>
    <w:rsid w:val="00D17324"/>
    <w:rsid w:val="00D17DA3"/>
    <w:rsid w:val="00D22017"/>
    <w:rsid w:val="00D25FA1"/>
    <w:rsid w:val="00D266CD"/>
    <w:rsid w:val="00D26D2C"/>
    <w:rsid w:val="00D273B3"/>
    <w:rsid w:val="00D3126B"/>
    <w:rsid w:val="00D335AC"/>
    <w:rsid w:val="00D33A00"/>
    <w:rsid w:val="00D35319"/>
    <w:rsid w:val="00D371F4"/>
    <w:rsid w:val="00D37201"/>
    <w:rsid w:val="00D4039C"/>
    <w:rsid w:val="00D407D7"/>
    <w:rsid w:val="00D4100A"/>
    <w:rsid w:val="00D44004"/>
    <w:rsid w:val="00D4454D"/>
    <w:rsid w:val="00D44669"/>
    <w:rsid w:val="00D45C1D"/>
    <w:rsid w:val="00D47576"/>
    <w:rsid w:val="00D501C6"/>
    <w:rsid w:val="00D51368"/>
    <w:rsid w:val="00D517F4"/>
    <w:rsid w:val="00D52693"/>
    <w:rsid w:val="00D570CA"/>
    <w:rsid w:val="00D602CD"/>
    <w:rsid w:val="00D614F4"/>
    <w:rsid w:val="00D6178A"/>
    <w:rsid w:val="00D6247D"/>
    <w:rsid w:val="00D62A67"/>
    <w:rsid w:val="00D630C2"/>
    <w:rsid w:val="00D6413B"/>
    <w:rsid w:val="00D66C4D"/>
    <w:rsid w:val="00D70873"/>
    <w:rsid w:val="00D71498"/>
    <w:rsid w:val="00D716EA"/>
    <w:rsid w:val="00D72F78"/>
    <w:rsid w:val="00D74756"/>
    <w:rsid w:val="00D766AE"/>
    <w:rsid w:val="00D770F5"/>
    <w:rsid w:val="00D806B3"/>
    <w:rsid w:val="00D80B02"/>
    <w:rsid w:val="00D82756"/>
    <w:rsid w:val="00D82BD8"/>
    <w:rsid w:val="00D82EE4"/>
    <w:rsid w:val="00D83AEE"/>
    <w:rsid w:val="00D84B0A"/>
    <w:rsid w:val="00D93456"/>
    <w:rsid w:val="00D958D0"/>
    <w:rsid w:val="00D97C80"/>
    <w:rsid w:val="00DB01F1"/>
    <w:rsid w:val="00DB6339"/>
    <w:rsid w:val="00DC0867"/>
    <w:rsid w:val="00DC0F9A"/>
    <w:rsid w:val="00DC2AA0"/>
    <w:rsid w:val="00DC65F2"/>
    <w:rsid w:val="00DC7345"/>
    <w:rsid w:val="00DC7529"/>
    <w:rsid w:val="00DD0FD4"/>
    <w:rsid w:val="00DD1C05"/>
    <w:rsid w:val="00DE1843"/>
    <w:rsid w:val="00DE1AF6"/>
    <w:rsid w:val="00DE3487"/>
    <w:rsid w:val="00DE5526"/>
    <w:rsid w:val="00DF0411"/>
    <w:rsid w:val="00DF1DEA"/>
    <w:rsid w:val="00DF284A"/>
    <w:rsid w:val="00DF6A35"/>
    <w:rsid w:val="00DF7CE9"/>
    <w:rsid w:val="00E01A0F"/>
    <w:rsid w:val="00E05143"/>
    <w:rsid w:val="00E05E1B"/>
    <w:rsid w:val="00E1424E"/>
    <w:rsid w:val="00E14BB7"/>
    <w:rsid w:val="00E163B2"/>
    <w:rsid w:val="00E21B96"/>
    <w:rsid w:val="00E25BD8"/>
    <w:rsid w:val="00E27219"/>
    <w:rsid w:val="00E30984"/>
    <w:rsid w:val="00E3312E"/>
    <w:rsid w:val="00E36D32"/>
    <w:rsid w:val="00E414BD"/>
    <w:rsid w:val="00E41F13"/>
    <w:rsid w:val="00E42493"/>
    <w:rsid w:val="00E43DBE"/>
    <w:rsid w:val="00E44D77"/>
    <w:rsid w:val="00E470B3"/>
    <w:rsid w:val="00E47331"/>
    <w:rsid w:val="00E53D7A"/>
    <w:rsid w:val="00E551C3"/>
    <w:rsid w:val="00E56AFA"/>
    <w:rsid w:val="00E60D7B"/>
    <w:rsid w:val="00E6171C"/>
    <w:rsid w:val="00E65DED"/>
    <w:rsid w:val="00E65F3C"/>
    <w:rsid w:val="00E66446"/>
    <w:rsid w:val="00E673E6"/>
    <w:rsid w:val="00E70FBE"/>
    <w:rsid w:val="00E72D61"/>
    <w:rsid w:val="00E737A0"/>
    <w:rsid w:val="00E74301"/>
    <w:rsid w:val="00E743F1"/>
    <w:rsid w:val="00E76F3B"/>
    <w:rsid w:val="00E85B43"/>
    <w:rsid w:val="00E909B1"/>
    <w:rsid w:val="00E93036"/>
    <w:rsid w:val="00E96075"/>
    <w:rsid w:val="00E97BA1"/>
    <w:rsid w:val="00E97C55"/>
    <w:rsid w:val="00EA607D"/>
    <w:rsid w:val="00EA7ADD"/>
    <w:rsid w:val="00EB0F81"/>
    <w:rsid w:val="00EB28D8"/>
    <w:rsid w:val="00EB4B76"/>
    <w:rsid w:val="00EB6621"/>
    <w:rsid w:val="00EB72CC"/>
    <w:rsid w:val="00EC42C5"/>
    <w:rsid w:val="00EC683E"/>
    <w:rsid w:val="00ED070C"/>
    <w:rsid w:val="00ED2856"/>
    <w:rsid w:val="00ED343E"/>
    <w:rsid w:val="00ED5BE8"/>
    <w:rsid w:val="00EE25B8"/>
    <w:rsid w:val="00EE5C1C"/>
    <w:rsid w:val="00EE680E"/>
    <w:rsid w:val="00EF00E7"/>
    <w:rsid w:val="00EF1FB4"/>
    <w:rsid w:val="00EF50B3"/>
    <w:rsid w:val="00EF7858"/>
    <w:rsid w:val="00F062E6"/>
    <w:rsid w:val="00F065E0"/>
    <w:rsid w:val="00F11EC2"/>
    <w:rsid w:val="00F12A1D"/>
    <w:rsid w:val="00F12B03"/>
    <w:rsid w:val="00F15474"/>
    <w:rsid w:val="00F17A77"/>
    <w:rsid w:val="00F27323"/>
    <w:rsid w:val="00F4068B"/>
    <w:rsid w:val="00F4519B"/>
    <w:rsid w:val="00F4726B"/>
    <w:rsid w:val="00F51DBA"/>
    <w:rsid w:val="00F52EA9"/>
    <w:rsid w:val="00F56EF0"/>
    <w:rsid w:val="00F57BD2"/>
    <w:rsid w:val="00F70BC9"/>
    <w:rsid w:val="00F70CB3"/>
    <w:rsid w:val="00F73975"/>
    <w:rsid w:val="00F763B8"/>
    <w:rsid w:val="00F77A53"/>
    <w:rsid w:val="00F805E8"/>
    <w:rsid w:val="00F81AD4"/>
    <w:rsid w:val="00F86D5A"/>
    <w:rsid w:val="00F87039"/>
    <w:rsid w:val="00F87B02"/>
    <w:rsid w:val="00F909AB"/>
    <w:rsid w:val="00F91202"/>
    <w:rsid w:val="00F92680"/>
    <w:rsid w:val="00F92CCD"/>
    <w:rsid w:val="00F92E2B"/>
    <w:rsid w:val="00F93680"/>
    <w:rsid w:val="00F9462F"/>
    <w:rsid w:val="00F95EFA"/>
    <w:rsid w:val="00F96870"/>
    <w:rsid w:val="00F96FC9"/>
    <w:rsid w:val="00FA260B"/>
    <w:rsid w:val="00FA32F3"/>
    <w:rsid w:val="00FA6045"/>
    <w:rsid w:val="00FA6973"/>
    <w:rsid w:val="00FB20DC"/>
    <w:rsid w:val="00FB506B"/>
    <w:rsid w:val="00FB6E6B"/>
    <w:rsid w:val="00FB79F2"/>
    <w:rsid w:val="00FD12ED"/>
    <w:rsid w:val="00FD2247"/>
    <w:rsid w:val="00FD6D47"/>
    <w:rsid w:val="00FE06B7"/>
    <w:rsid w:val="00FE3D5C"/>
    <w:rsid w:val="00FE5888"/>
    <w:rsid w:val="00FE7827"/>
    <w:rsid w:val="00FF0277"/>
    <w:rsid w:val="00FF30A0"/>
    <w:rsid w:val="00FF501D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BCF3F8"/>
  <w15:docId w15:val="{7B96DB0A-781B-43C9-9D54-A2C888AB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84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1E6E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1E6E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F0D98"/>
    <w:pPr>
      <w:keepNext/>
      <w:numPr>
        <w:ilvl w:val="1"/>
        <w:numId w:val="2"/>
      </w:numPr>
      <w:outlineLvl w:val="2"/>
    </w:pPr>
    <w:rPr>
      <w:rFonts w:cs="Arial"/>
      <w:b/>
      <w:bCs/>
      <w:szCs w:val="26"/>
      <w:lang w:val="en-GB" w:eastAsia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1E6E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3F0D98"/>
    <w:pPr>
      <w:keepNext/>
      <w:numPr>
        <w:numId w:val="2"/>
      </w:numPr>
      <w:outlineLvl w:val="4"/>
    </w:pPr>
    <w:rPr>
      <w:b/>
      <w:caps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23DEC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A23DEC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A23DEC"/>
    <w:rPr>
      <w:rFonts w:ascii="Cambria" w:hAnsi="Cambria" w:cs="Times New Roman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A23DEC"/>
    <w:rPr>
      <w:rFonts w:ascii="Calibri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23DEC"/>
    <w:rPr>
      <w:rFonts w:ascii="Calibri" w:hAnsi="Calibri" w:cs="Times New Roman"/>
      <w:b/>
      <w:bCs/>
      <w:i/>
      <w:iCs/>
      <w:sz w:val="26"/>
      <w:szCs w:val="2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2E17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23DEC"/>
    <w:rPr>
      <w:rFonts w:cs="Times New Roman"/>
      <w:sz w:val="2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rsid w:val="002C1DA7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2E1739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2E173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A23DEC"/>
    <w:rPr>
      <w:rFonts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2E17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A23DEC"/>
    <w:rPr>
      <w:rFonts w:cs="Times New Roman"/>
      <w:b/>
      <w:bCs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82431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A23DEC"/>
    <w:rPr>
      <w:rFonts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824319"/>
    <w:rPr>
      <w:rFonts w:cs="Times New Roman"/>
      <w:vertAlign w:val="superscript"/>
    </w:rPr>
  </w:style>
  <w:style w:type="character" w:styleId="Hyperlink">
    <w:name w:val="Hyperlink"/>
    <w:basedOn w:val="Standaardalinea-lettertype"/>
    <w:uiPriority w:val="99"/>
    <w:rsid w:val="00D44004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D9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link w:val="Plattetekst3Char"/>
    <w:uiPriority w:val="99"/>
    <w:rsid w:val="00666FE4"/>
    <w:pPr>
      <w:tabs>
        <w:tab w:val="left" w:pos="567"/>
      </w:tabs>
      <w:jc w:val="both"/>
    </w:pPr>
    <w:rPr>
      <w:b/>
      <w:bCs/>
      <w:sz w:val="22"/>
      <w:szCs w:val="20"/>
      <w:lang w:val="en-GB" w:eastAsia="en-US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A23DEC"/>
    <w:rPr>
      <w:rFonts w:cs="Times New Roman"/>
      <w:sz w:val="16"/>
      <w:szCs w:val="16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rsid w:val="002B644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A23DEC"/>
    <w:rPr>
      <w:rFonts w:cs="Times New Roman"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rsid w:val="001E6ECB"/>
    <w:pPr>
      <w:spacing w:before="100" w:beforeAutospacing="1" w:after="100" w:afterAutospacing="1" w:line="336" w:lineRule="auto"/>
    </w:pPr>
    <w:rPr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D5269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23DEC"/>
    <w:rPr>
      <w:rFonts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D52693"/>
    <w:rPr>
      <w:rFonts w:cs="Times New Roman"/>
    </w:rPr>
  </w:style>
  <w:style w:type="character" w:customStyle="1" w:styleId="tw4winMark">
    <w:name w:val="tw4winMark"/>
    <w:uiPriority w:val="99"/>
    <w:rsid w:val="007C495B"/>
    <w:rPr>
      <w:rFonts w:ascii="Courier New" w:hAnsi="Courier New"/>
      <w:noProof/>
      <w:vanish/>
      <w:color w:val="800080"/>
      <w:sz w:val="20"/>
      <w:u w:val="single"/>
      <w:effect w:val="none"/>
      <w:vertAlign w:val="subscript"/>
      <w:lang w:val="nl-BE"/>
    </w:rPr>
  </w:style>
  <w:style w:type="paragraph" w:styleId="Revisie">
    <w:name w:val="Revision"/>
    <w:hidden/>
    <w:uiPriority w:val="99"/>
    <w:semiHidden/>
    <w:rsid w:val="00905212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D07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7D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7DA9"/>
    <w:rPr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3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4365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5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4365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5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656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56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436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5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4365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6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4365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change_lg.pl?language=fr&amp;la=F&amp;cn=1964032530&amp;table_name=loi" TargetMode="External"/><Relationship Id="rId13" Type="http://schemas.openxmlformats.org/officeDocument/2006/relationships/hyperlink" Target="http://www.hma.eu/222.html" TargetMode="External"/><Relationship Id="rId18" Type="http://schemas.openxmlformats.org/officeDocument/2006/relationships/hyperlink" Target="https://www.ema.europa.eu/en/documents/prac-recommendation/prac-recommendations-signals-adopted-25-29-september-2017-prac-meeting_en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ma.europa.eu/en/documents/prac-recommendation/prac-recommendations-signals-adopted-12-15-march-2019-prac-meeting_en.pdf" TargetMode="External"/><Relationship Id="rId17" Type="http://schemas.openxmlformats.org/officeDocument/2006/relationships/hyperlink" Target="https://www.ema.europa.eu/en/documents/prac-recommendation/prac-recommendations-signals-adopted-prac-meeting-3-6-february-2014_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rmacotherapeutischkompas.n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a.europa.eu/en/documents/prac-recommendation/prac-recommendations-signals-adopted-25-29-september-2017-prac-meeting_en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dyl\AppData\Local\Microsoft\Windows\INetCache\Content.Outlook\VE6OHC2L\:%20http:\www.bcfi.be\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ma.europa.eu/en/documents/prac-recommendation/prac-recommendations-signals-adopted-prac-meeting-3-6-february-2014_en.pdf" TargetMode="External"/><Relationship Id="rId19" Type="http://schemas.openxmlformats.org/officeDocument/2006/relationships/hyperlink" Target="https://www.ema.europa.eu/en/documents/prac-recommendation/prac-recommendations-signals-adopted-12-15-march-2019-prac-meeting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ma.eu/fileadmin/dateien/Human_Medicines/CMD_h_/Product_Information/PhVWP_Recommendations/Paracetamol/Paracetamol-Summary_of_Assessment_outcome.pdf" TargetMode="External"/><Relationship Id="rId14" Type="http://schemas.openxmlformats.org/officeDocument/2006/relationships/hyperlink" Target="http://www.mhra.gov.uk/home/groups/par/documents/websiteresources/con065551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ED173-2722-4F1B-99E3-FAFB9B8A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3106</Words>
  <Characters>19857</Characters>
  <Application>Microsoft Office Word</Application>
  <DocSecurity>0</DocSecurity>
  <Lines>165</Lines>
  <Paragraphs>45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SOCs</vt:lpstr>
      <vt:lpstr>SOCs</vt:lpstr>
      <vt:lpstr>SOCs</vt:lpstr>
    </vt:vector>
  </TitlesOfParts>
  <Company>AFIGP</Company>
  <LinksUpToDate>false</LinksUpToDate>
  <CharactersWithSpaces>22918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SOCs</dc:title>
  <dc:creator>Defays Laurence</dc:creator>
  <cp:lastModifiedBy>Eeckhout Ann</cp:lastModifiedBy>
  <cp:revision>24</cp:revision>
  <cp:lastPrinted>2020-02-27T13:14:00Z</cp:lastPrinted>
  <dcterms:created xsi:type="dcterms:W3CDTF">2020-02-20T14:25:00Z</dcterms:created>
  <dcterms:modified xsi:type="dcterms:W3CDTF">2020-02-27T13:14:00Z</dcterms:modified>
</cp:coreProperties>
</file>